
<file path=[Content_Types].xml><?xml version="1.0" encoding="utf-8"?>
<Types xmlns="http://schemas.openxmlformats.org/package/2006/content-types">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240" w:lineRule="auto"/>
        <w:contextualSpacing/>
        <w:rPr>
          <w:sz w:val="44"/>
          <w:szCs w:val="44"/>
        </w:rPr>
      </w:pPr>
    </w:p>
    <w:p>
      <w:pPr>
        <w:pStyle w:val="19"/>
        <w:spacing w:line="240" w:lineRule="auto"/>
        <w:contextualSpacing/>
        <w:rPr>
          <w:b/>
          <w:color w:val="4F81BD" w:themeColor="accent1"/>
          <w:sz w:val="44"/>
          <w:szCs w:val="44"/>
          <w14:textFill>
            <w14:solidFill>
              <w14:schemeClr w14:val="accent1"/>
            </w14:solidFill>
          </w14:textFill>
        </w:rPr>
      </w:pPr>
      <w:r>
        <w:rPr>
          <w:b/>
          <w:color w:val="4F81BD" w:themeColor="accent1"/>
          <w:sz w:val="44"/>
          <w:szCs w:val="44"/>
          <w14:textFill>
            <w14:solidFill>
              <w14:schemeClr w14:val="accent1"/>
            </w14:solidFill>
          </w14:textFill>
        </w:rPr>
        <w:t xml:space="preserve">Transition vers le supérieur </w:t>
      </w:r>
    </w:p>
    <w:p>
      <w:pPr>
        <w:pStyle w:val="14"/>
        <w:contextualSpacing/>
      </w:pPr>
      <w:r>
        <w:t>Philosophie</w:t>
      </w:r>
    </w:p>
    <w:p>
      <w:pPr>
        <w:spacing w:before="240"/>
        <w:rPr>
          <w:b/>
        </w:rPr>
      </w:pPr>
      <w:r>
        <w:rPr>
          <w:b/>
          <w:sz w:val="18"/>
          <w:szCs w:val="18"/>
        </w:rPr>
        <w:t>Ce document recense des indications bibliographiques se rapportant aux poursuites d’études dans le supérieur</w:t>
      </w:r>
    </w:p>
    <w:sdt>
      <w:sdtPr>
        <w:id w:val="-1353879599"/>
        <w:docPartObj>
          <w:docPartGallery w:val="Table of Contents"/>
          <w:docPartUnique/>
        </w:docPartObj>
      </w:sdtPr>
      <w:sdtContent>
        <w:p>
          <w:pPr>
            <w:spacing w:before="80"/>
            <w:rPr>
              <w:color w:val="1155CC"/>
              <w:u w:val="single"/>
            </w:rPr>
          </w:pPr>
          <w:bookmarkStart w:id="0" w:name="_nt42uty9g8cd" w:colFirst="0" w:colLast="0"/>
          <w:bookmarkEnd w:id="0"/>
          <w:r>
            <w:fldChar w:fldCharType="begin"/>
          </w:r>
          <w:r>
            <w:instrText xml:space="preserve"> TOC \h \u \z \n </w:instrText>
          </w:r>
          <w:r>
            <w:fldChar w:fldCharType="separate"/>
          </w:r>
          <w:r>
            <w:fldChar w:fldCharType="begin"/>
          </w:r>
          <w:r>
            <w:instrText xml:space="preserve"> HYPERLINK \l "_7yy4d1gx6v2x" \h </w:instrText>
          </w:r>
          <w:r>
            <w:fldChar w:fldCharType="separate"/>
          </w:r>
          <w:r>
            <w:rPr>
              <w:color w:val="1155CC"/>
              <w:u w:val="single"/>
            </w:rPr>
            <w:t>Cursus de santé</w:t>
          </w:r>
          <w:r>
            <w:rPr>
              <w:color w:val="1155CC"/>
              <w:u w:val="single"/>
            </w:rPr>
            <w:fldChar w:fldCharType="end"/>
          </w:r>
        </w:p>
        <w:p>
          <w:pPr>
            <w:spacing w:before="200"/>
            <w:rPr>
              <w:color w:val="1155CC"/>
              <w:u w:val="single"/>
            </w:rPr>
          </w:pPr>
          <w:r>
            <w:fldChar w:fldCharType="begin"/>
          </w:r>
          <w:r>
            <w:instrText xml:space="preserve"> HYPERLINK \l "_zc5dzohthrme" \h </w:instrText>
          </w:r>
          <w:r>
            <w:fldChar w:fldCharType="separate"/>
          </w:r>
          <w:r>
            <w:rPr>
              <w:color w:val="1155CC"/>
              <w:u w:val="single"/>
            </w:rPr>
            <w:t>Philosophie et droit</w:t>
          </w:r>
          <w:r>
            <w:rPr>
              <w:color w:val="1155CC"/>
              <w:u w:val="single"/>
            </w:rPr>
            <w:fldChar w:fldCharType="end"/>
          </w:r>
        </w:p>
        <w:p>
          <w:pPr>
            <w:spacing w:before="200"/>
            <w:rPr>
              <w:color w:val="1155CC"/>
              <w:u w:val="single"/>
            </w:rPr>
          </w:pPr>
          <w:r>
            <w:fldChar w:fldCharType="begin"/>
          </w:r>
          <w:r>
            <w:instrText xml:space="preserve"> HYPERLINK \l "_w8tf73vgye6t" \h </w:instrText>
          </w:r>
          <w:r>
            <w:fldChar w:fldCharType="separate"/>
          </w:r>
          <w:r>
            <w:rPr>
              <w:color w:val="1155CC"/>
              <w:u w:val="single"/>
            </w:rPr>
            <w:t>CPGE scientifiques</w:t>
          </w:r>
          <w:r>
            <w:rPr>
              <w:color w:val="1155CC"/>
              <w:u w:val="single"/>
            </w:rPr>
            <w:fldChar w:fldCharType="end"/>
          </w:r>
        </w:p>
        <w:p>
          <w:pPr>
            <w:spacing w:before="200"/>
            <w:rPr>
              <w:color w:val="1155CC"/>
              <w:u w:val="single"/>
            </w:rPr>
          </w:pPr>
          <w:r>
            <w:fldChar w:fldCharType="begin"/>
          </w:r>
          <w:r>
            <w:instrText xml:space="preserve"> HYPERLINK \l "_agubx28t2pv5" \h </w:instrText>
          </w:r>
          <w:r>
            <w:fldChar w:fldCharType="separate"/>
          </w:r>
          <w:r>
            <w:rPr>
              <w:color w:val="1155CC"/>
              <w:u w:val="single"/>
            </w:rPr>
            <w:t>CPGE littéraires et économiques/ étudiants en philosophie</w:t>
          </w:r>
          <w:r>
            <w:rPr>
              <w:color w:val="1155CC"/>
              <w:u w:val="single"/>
            </w:rPr>
            <w:fldChar w:fldCharType="end"/>
          </w:r>
        </w:p>
        <w:p>
          <w:pPr>
            <w:spacing w:before="200"/>
            <w:rPr>
              <w:color w:val="1155CC"/>
              <w:u w:val="single"/>
            </w:rPr>
          </w:pPr>
          <w:r>
            <w:fldChar w:fldCharType="begin"/>
          </w:r>
          <w:r>
            <w:instrText xml:space="preserve"> HYPERLINK \l "_wi64bes90qhu" \h </w:instrText>
          </w:r>
          <w:r>
            <w:fldChar w:fldCharType="separate"/>
          </w:r>
          <w:r>
            <w:rPr>
              <w:color w:val="1155CC"/>
              <w:u w:val="single"/>
            </w:rPr>
            <w:t>Études d'histoire</w:t>
          </w:r>
          <w:r>
            <w:rPr>
              <w:color w:val="1155CC"/>
              <w:u w:val="single"/>
            </w:rPr>
            <w:fldChar w:fldCharType="end"/>
          </w:r>
        </w:p>
        <w:p>
          <w:pPr>
            <w:spacing w:before="200"/>
            <w:rPr>
              <w:color w:val="4F81BD" w:themeColor="accent1"/>
              <w:u w:val="single"/>
              <w14:textFill>
                <w14:solidFill>
                  <w14:schemeClr w14:val="accent1"/>
                </w14:solidFill>
              </w14:textFill>
            </w:rPr>
          </w:pPr>
          <w:r>
            <w:fldChar w:fldCharType="begin"/>
          </w:r>
          <w:r>
            <w:instrText xml:space="preserve"> HYPERLINK \l "_IEP_ou_Licences" </w:instrText>
          </w:r>
          <w:r>
            <w:fldChar w:fldCharType="separate"/>
          </w:r>
          <w:r>
            <w:rPr>
              <w:color w:val="1155CC"/>
              <w:u w:val="single"/>
            </w:rPr>
            <w:t>IEP ou Licences de sciences sociales ou de sciences politiques.</w:t>
          </w:r>
          <w:r>
            <w:rPr>
              <w:color w:val="1155CC"/>
              <w:u w:val="single"/>
            </w:rPr>
            <w:fldChar w:fldCharType="end"/>
          </w:r>
        </w:p>
        <w:p>
          <w:pPr>
            <w:spacing w:before="200"/>
            <w:rPr>
              <w:color w:val="1155CC"/>
              <w:u w:val="single"/>
            </w:rPr>
          </w:pPr>
          <w:r>
            <w:fldChar w:fldCharType="begin"/>
          </w:r>
          <w:r>
            <w:instrText xml:space="preserve"> HYPERLINK \l "_k2ftqfu3iu9z" \h </w:instrText>
          </w:r>
          <w:r>
            <w:fldChar w:fldCharType="separate"/>
          </w:r>
          <w:r>
            <w:rPr>
              <w:color w:val="1155CC"/>
              <w:u w:val="single"/>
            </w:rPr>
            <w:t>BTS</w:t>
          </w:r>
          <w:r>
            <w:rPr>
              <w:color w:val="1155CC"/>
              <w:u w:val="single"/>
            </w:rPr>
            <w:fldChar w:fldCharType="end"/>
          </w:r>
        </w:p>
        <w:p>
          <w:pPr>
            <w:spacing w:before="200" w:after="80"/>
            <w:rPr>
              <w:color w:val="1155CC"/>
              <w:u w:val="single"/>
            </w:rPr>
          </w:pPr>
          <w:r>
            <w:fldChar w:fldCharType="begin"/>
          </w:r>
          <w:r>
            <w:instrText xml:space="preserve"> HYPERLINK \l "_h55pvfmhb0w8" \h </w:instrText>
          </w:r>
          <w:r>
            <w:fldChar w:fldCharType="separate"/>
          </w:r>
          <w:r>
            <w:rPr>
              <w:color w:val="1155CC"/>
              <w:u w:val="single"/>
            </w:rPr>
            <w:t>STAPS</w:t>
          </w:r>
          <w:r>
            <w:rPr>
              <w:color w:val="1155CC"/>
              <w:u w:val="single"/>
            </w:rPr>
            <w:fldChar w:fldCharType="end"/>
          </w:r>
          <w:r>
            <w:fldChar w:fldCharType="end"/>
          </w:r>
        </w:p>
      </w:sdtContent>
    </w:sdt>
    <w:p>
      <w:pPr>
        <w:spacing w:before="240"/>
      </w:pPr>
    </w:p>
    <w:p>
      <w:pPr>
        <w:pStyle w:val="2"/>
        <w:spacing w:before="240"/>
      </w:pPr>
      <w:bookmarkStart w:id="1" w:name="_7yy4d1gx6v2x" w:colFirst="0" w:colLast="0"/>
      <w:bookmarkEnd w:id="1"/>
      <w:r>
        <w:t>Cursus de santé</w:t>
      </w:r>
    </w:p>
    <w:p>
      <w:pPr>
        <w:pStyle w:val="4"/>
        <w:spacing w:before="240"/>
        <w:rPr>
          <w:b/>
        </w:rPr>
      </w:pPr>
      <w:bookmarkStart w:id="2" w:name="_xev2d2xtolk3" w:colFirst="0" w:colLast="0"/>
      <w:bookmarkEnd w:id="2"/>
      <w:r>
        <w:rPr>
          <w:b/>
        </w:rPr>
        <w:t>Littérature</w:t>
      </w:r>
    </w:p>
    <w:p>
      <w:pPr>
        <w:spacing w:before="240"/>
      </w:pPr>
      <w:r>
        <w:t xml:space="preserve">Dominique Bauby, </w:t>
      </w:r>
      <w:r>
        <w:rPr>
          <w:i/>
        </w:rPr>
        <w:t>Le scaphandre et le papillon</w:t>
      </w:r>
      <w:r>
        <w:t xml:space="preserve">, Robert Laffont (Locked-in syndrom) </w:t>
      </w:r>
    </w:p>
    <w:p>
      <w:pPr>
        <w:spacing w:before="240"/>
      </w:pPr>
      <w:r>
        <w:t xml:space="preserve">Philippe Forest, </w:t>
      </w:r>
    </w:p>
    <w:p>
      <w:r>
        <w:rPr>
          <w:i/>
        </w:rPr>
        <w:t>L’enfant éternel</w:t>
      </w:r>
      <w:r>
        <w:t xml:space="preserve">, Gallimard (sur la maladie de l’enfant et le deuil), </w:t>
      </w:r>
    </w:p>
    <w:p>
      <w:r>
        <w:rPr>
          <w:i/>
        </w:rPr>
        <w:t xml:space="preserve">Tous les enfants sauf un, </w:t>
      </w:r>
      <w:r>
        <w:t>Gallimard</w:t>
      </w:r>
    </w:p>
    <w:p>
      <w:pPr>
        <w:spacing w:before="240"/>
      </w:pPr>
      <w:r>
        <w:t>Patrick Mac Grath, Spider, Gallimard (sur la schizophrénie)</w:t>
      </w:r>
    </w:p>
    <w:p>
      <w:pPr>
        <w:spacing w:before="240"/>
      </w:pPr>
      <w:r>
        <w:t xml:space="preserve">Maellys de Kerangal, </w:t>
      </w:r>
      <w:r>
        <w:rPr>
          <w:i/>
        </w:rPr>
        <w:t>Réparer les vivants</w:t>
      </w:r>
      <w:r>
        <w:t>, Gallimard (existe aussi en film)</w:t>
      </w:r>
    </w:p>
    <w:p>
      <w:pPr>
        <w:spacing w:before="240"/>
      </w:pPr>
      <w:r>
        <w:t xml:space="preserve">Philippe Lançon, </w:t>
      </w:r>
      <w:r>
        <w:rPr>
          <w:i/>
        </w:rPr>
        <w:t>Le lambeau</w:t>
      </w:r>
      <w:r>
        <w:t xml:space="preserve">, Gallimard (sur la reconstruction faciale et la greffe) </w:t>
      </w:r>
    </w:p>
    <w:p>
      <w:pPr>
        <w:spacing w:before="240"/>
      </w:pPr>
      <w:r>
        <w:t xml:space="preserve">Claire Marin, </w:t>
      </w:r>
      <w:r>
        <w:rPr>
          <w:i/>
        </w:rPr>
        <w:t xml:space="preserve">Hors de moi, </w:t>
      </w:r>
      <w:r>
        <w:t>Allia</w:t>
      </w:r>
    </w:p>
    <w:p>
      <w:pPr>
        <w:spacing w:before="240"/>
      </w:pPr>
      <w:r>
        <w:t xml:space="preserve">Olivia Rosenthal, </w:t>
      </w:r>
      <w:r>
        <w:rPr>
          <w:i/>
        </w:rPr>
        <w:t>On n’est pas là pour disparaitre</w:t>
      </w:r>
      <w:r>
        <w:t>, Verticales (sur Alzheimer)</w:t>
      </w:r>
    </w:p>
    <w:p/>
    <w:p>
      <w:r>
        <w:t xml:space="preserve">Martin Winckler, </w:t>
      </w:r>
    </w:p>
    <w:p>
      <w:r>
        <w:rPr>
          <w:i/>
        </w:rPr>
        <w:t>La maladie de Sacks</w:t>
      </w:r>
      <w:r>
        <w:t xml:space="preserve">, Gaillmard </w:t>
      </w:r>
    </w:p>
    <w:p>
      <w:r>
        <w:rPr>
          <w:i/>
        </w:rPr>
        <w:t>Le choeur des femmes</w:t>
      </w:r>
      <w:r>
        <w:t>, Gallimard</w:t>
      </w:r>
    </w:p>
    <w:p>
      <w:pPr>
        <w:pStyle w:val="4"/>
        <w:spacing w:before="240"/>
        <w:rPr>
          <w:b/>
        </w:rPr>
      </w:pPr>
      <w:bookmarkStart w:id="3" w:name="_dk3kscpgxgj8" w:colFirst="0" w:colLast="0"/>
      <w:bookmarkEnd w:id="3"/>
    </w:p>
    <w:p>
      <w:pPr>
        <w:pStyle w:val="4"/>
        <w:spacing w:before="240"/>
        <w:rPr>
          <w:b/>
        </w:rPr>
      </w:pPr>
      <w:bookmarkStart w:id="4" w:name="_ne8a5munrmbb" w:colFirst="0" w:colLast="0"/>
      <w:bookmarkEnd w:id="4"/>
      <w:r>
        <w:rPr>
          <w:b/>
        </w:rPr>
        <w:t>Philosophie/Anthropologie/Psychiatrie</w:t>
      </w:r>
    </w:p>
    <w:p>
      <w:pPr>
        <w:spacing w:before="240"/>
      </w:pPr>
      <w:r>
        <w:t>Recueils de textes de philosophie traitant de questions soulevées par la médecine et commentées par des philosophes ou des médecins :</w:t>
      </w:r>
    </w:p>
    <w:p>
      <w:pPr>
        <w:spacing w:before="240"/>
      </w:pPr>
      <w:r>
        <w:t xml:space="preserve">Lefève, Worms, </w:t>
      </w:r>
      <w:r>
        <w:rPr>
          <w:i/>
        </w:rPr>
        <w:t>Classiques du soin</w:t>
      </w:r>
      <w:r>
        <w:t>, PUF, Questions de soin</w:t>
      </w:r>
    </w:p>
    <w:p>
      <w:pPr>
        <w:spacing w:before="240"/>
      </w:pPr>
      <w:r>
        <w:t xml:space="preserve">Lefève, Mino, Zaccai, </w:t>
      </w:r>
      <w:r>
        <w:rPr>
          <w:i/>
        </w:rPr>
        <w:t>Approches contemporaines du soin</w:t>
      </w:r>
      <w:r>
        <w:t>, PUF, Questions de soin</w:t>
      </w:r>
    </w:p>
    <w:p>
      <w:pPr>
        <w:spacing w:before="240"/>
      </w:pPr>
      <w:r>
        <w:t xml:space="preserve">Georges Canguilhem, </w:t>
      </w:r>
      <w:r>
        <w:rPr>
          <w:i/>
        </w:rPr>
        <w:t>Ecrits sur la médecine</w:t>
      </w:r>
      <w:r>
        <w:t>, Vrin</w:t>
      </w:r>
    </w:p>
    <w:p>
      <w:pPr>
        <w:spacing w:before="240"/>
      </w:pPr>
      <w:r>
        <w:t xml:space="preserve">Michel Malherbe, Alzheimer, </w:t>
      </w:r>
      <w:r>
        <w:rPr>
          <w:i/>
        </w:rPr>
        <w:t>La vie, la mort et la reconnaissance</w:t>
      </w:r>
      <w:r>
        <w:t>, Vrin</w:t>
      </w:r>
    </w:p>
    <w:p>
      <w:pPr>
        <w:spacing w:before="240"/>
      </w:pPr>
      <w:r>
        <w:t xml:space="preserve">Jean-Luc Nancy, </w:t>
      </w:r>
      <w:r>
        <w:rPr>
          <w:i/>
        </w:rPr>
        <w:t>L’intrus</w:t>
      </w:r>
      <w:r>
        <w:t>, Galilée</w:t>
      </w:r>
    </w:p>
    <w:p>
      <w:pPr>
        <w:spacing w:before="240"/>
      </w:pPr>
      <w:r>
        <w:t xml:space="preserve">Vincent Delecroix, Philippe Forest, </w:t>
      </w:r>
      <w:r>
        <w:rPr>
          <w:i/>
        </w:rPr>
        <w:t>Le deuil</w:t>
      </w:r>
      <w:r>
        <w:t>, Philosophie magazine éditions</w:t>
      </w:r>
    </w:p>
    <w:p>
      <w:pPr>
        <w:spacing w:before="240"/>
      </w:pPr>
      <w:r>
        <w:t xml:space="preserve">David Le Breton, </w:t>
      </w:r>
      <w:r>
        <w:rPr>
          <w:i/>
        </w:rPr>
        <w:t xml:space="preserve">Anthropologie de la douleur, </w:t>
      </w:r>
      <w:r>
        <w:t>Métaillié</w:t>
      </w:r>
    </w:p>
    <w:p>
      <w:pPr>
        <w:spacing w:before="240"/>
      </w:pPr>
      <w:r>
        <w:t xml:space="preserve">Susan Sontag, </w:t>
      </w:r>
      <w:r>
        <w:rPr>
          <w:i/>
        </w:rPr>
        <w:t>La maladie comme métaphore</w:t>
      </w:r>
      <w:r>
        <w:t>, Christian Bourgois</w:t>
      </w:r>
    </w:p>
    <w:p>
      <w:pPr>
        <w:spacing w:before="240"/>
      </w:pPr>
      <w:r>
        <w:t xml:space="preserve">Oliver Sacks, </w:t>
      </w:r>
      <w:r>
        <w:rPr>
          <w:i/>
        </w:rPr>
        <w:t>L’homme qui prenait sa femme pour un chapeau</w:t>
      </w:r>
      <w:r>
        <w:t>, Seuil (maladies psychiatriques)</w:t>
      </w:r>
    </w:p>
    <w:p>
      <w:pPr>
        <w:spacing w:before="240"/>
      </w:pPr>
      <w:r>
        <w:t xml:space="preserve">Suzanne Rameix, </w:t>
      </w:r>
      <w:r>
        <w:rPr>
          <w:i/>
        </w:rPr>
        <w:t>Fondements philosophiques de l’éthique médicale</w:t>
      </w:r>
      <w:r>
        <w:t xml:space="preserve"> (Ellipses)</w:t>
      </w:r>
    </w:p>
    <w:p>
      <w:pPr>
        <w:spacing w:before="240"/>
      </w:pPr>
      <w:r>
        <w:t xml:space="preserve">Jacques Ricot, </w:t>
      </w:r>
      <w:r>
        <w:rPr>
          <w:i/>
        </w:rPr>
        <w:t>Philosophie et fin de vie</w:t>
      </w:r>
      <w:r>
        <w:t xml:space="preserve"> (Editions ENSP), Ethique du soin ultime (Presses de l’EHESP)</w:t>
      </w:r>
    </w:p>
    <w:p>
      <w:pPr>
        <w:spacing w:before="240"/>
      </w:pPr>
      <w:r>
        <w:t xml:space="preserve">Jérôme Porée, </w:t>
      </w:r>
      <w:r>
        <w:rPr>
          <w:i/>
        </w:rPr>
        <w:t>Sur la douleur, Quatre études</w:t>
      </w:r>
      <w:r>
        <w:t xml:space="preserve"> (PUF)</w:t>
      </w:r>
    </w:p>
    <w:p>
      <w:pPr>
        <w:spacing w:before="240"/>
        <w:rPr>
          <w:u w:val="single"/>
        </w:rPr>
      </w:pPr>
      <w:r>
        <w:t xml:space="preserve">Conférence de Jérôme Porée : </w:t>
      </w:r>
      <w:r>
        <w:fldChar w:fldCharType="begin"/>
      </w:r>
      <w:r>
        <w:instrText xml:space="preserve"> HYPERLINK "https://chaire-philo.fr/jerome-poree-aux-sources-du-soin-pour-une-phenomenologie-de-la-maladie/" \h </w:instrText>
      </w:r>
      <w:r>
        <w:fldChar w:fldCharType="separate"/>
      </w:r>
      <w:r>
        <w:rPr>
          <w:color w:val="1155CC"/>
          <w:u w:val="single"/>
        </w:rPr>
        <w:t>https://chaire-philo.fr/jerome-poree-aux-sources-du-soin-pour-une-phenomenologie-de-la-maladie/</w:t>
      </w:r>
      <w:r>
        <w:rPr>
          <w:color w:val="1155CC"/>
          <w:u w:val="single"/>
        </w:rPr>
        <w:fldChar w:fldCharType="end"/>
      </w:r>
      <w:r>
        <w:rPr>
          <w:u w:val="single"/>
        </w:rPr>
        <w:t xml:space="preserve"> (youtube)</w:t>
      </w:r>
    </w:p>
    <w:p>
      <w:pPr>
        <w:spacing w:before="240"/>
        <w:rPr>
          <w:u w:val="single"/>
        </w:rPr>
      </w:pPr>
    </w:p>
    <w:p>
      <w:pPr>
        <w:pStyle w:val="4"/>
        <w:spacing w:before="240"/>
        <w:rPr>
          <w:b/>
        </w:rPr>
      </w:pPr>
      <w:bookmarkStart w:id="5" w:name="_fkoaqirofbol" w:colFirst="0" w:colLast="0"/>
      <w:bookmarkEnd w:id="5"/>
      <w:r>
        <w:rPr>
          <w:b/>
        </w:rPr>
        <w:t>Bandes dessinées</w:t>
      </w:r>
    </w:p>
    <w:p>
      <w:r>
        <w:t xml:space="preserve">Frederik Peteers, </w:t>
      </w:r>
      <w:r>
        <w:rPr>
          <w:i/>
        </w:rPr>
        <w:t xml:space="preserve">Pilules Bleues </w:t>
      </w:r>
      <w:r>
        <w:t>(SIDA)</w:t>
      </w:r>
    </w:p>
    <w:p>
      <w:r>
        <w:t xml:space="preserve">AG Djungo, </w:t>
      </w:r>
      <w:r>
        <w:rPr>
          <w:i/>
        </w:rPr>
        <w:t xml:space="preserve">In waves </w:t>
      </w:r>
      <w:r>
        <w:t>(cancer de l’adolescent)</w:t>
      </w:r>
    </w:p>
    <w:p>
      <w:pPr>
        <w:rPr>
          <w:i/>
        </w:rPr>
      </w:pPr>
      <w:r>
        <w:t xml:space="preserve">David B., </w:t>
      </w:r>
      <w:r>
        <w:rPr>
          <w:i/>
        </w:rPr>
        <w:t>L’ascension du haut mal</w:t>
      </w:r>
    </w:p>
    <w:p>
      <w:pPr>
        <w:rPr>
          <w:i/>
        </w:rPr>
      </w:pPr>
      <w:r>
        <w:t xml:space="preserve">Olivier Balez, </w:t>
      </w:r>
      <w:r>
        <w:rPr>
          <w:i/>
        </w:rPr>
        <w:t>La cordée du mont Rose</w:t>
      </w:r>
    </w:p>
    <w:p>
      <w:pPr>
        <w:rPr>
          <w:i/>
        </w:rPr>
      </w:pPr>
      <w:r>
        <w:t xml:space="preserve">Elodie Durand, </w:t>
      </w:r>
      <w:r>
        <w:rPr>
          <w:i/>
        </w:rPr>
        <w:t>La parenthèse</w:t>
      </w:r>
    </w:p>
    <w:p>
      <w:pPr>
        <w:spacing w:before="240"/>
        <w:rPr>
          <w:b/>
        </w:rPr>
      </w:pPr>
      <w:r>
        <w:t xml:space="preserve">pour d’autres références </w:t>
      </w:r>
      <w:r>
        <w:rPr>
          <w:i/>
        </w:rPr>
        <w:t xml:space="preserve">: </w:t>
      </w:r>
      <w:r>
        <w:fldChar w:fldCharType="begin"/>
      </w:r>
      <w:r>
        <w:instrText xml:space="preserve"> HYPERLINK "https://www.senscritique.com/liste/Illustrer_la_maladie/54609" \h </w:instrText>
      </w:r>
      <w:r>
        <w:fldChar w:fldCharType="separate"/>
      </w:r>
      <w:r>
        <w:rPr>
          <w:color w:val="1155CC"/>
          <w:u w:val="single"/>
        </w:rPr>
        <w:t>https://www.senscritique.com/liste/Illustrer_la_maladie/54609</w:t>
      </w:r>
      <w:r>
        <w:rPr>
          <w:color w:val="1155CC"/>
          <w:u w:val="single"/>
        </w:rPr>
        <w:fldChar w:fldCharType="end"/>
      </w:r>
      <w:r>
        <w:t xml:space="preserve"> </w:t>
      </w:r>
      <w:r>
        <w:fldChar w:fldCharType="begin"/>
      </w:r>
      <w:r>
        <w:instrText xml:space="preserve"> HYPERLINK "https://www.senscritique.com/liste/Maladie_et_bande_dessinee/346872" \h </w:instrText>
      </w:r>
      <w:r>
        <w:fldChar w:fldCharType="separate"/>
      </w:r>
      <w:r>
        <w:rPr>
          <w:color w:val="1155CC"/>
          <w:u w:val="single"/>
        </w:rPr>
        <w:t>https://www.senscritique.com/liste/Maladie_et_bande_dessinee/346872</w:t>
      </w:r>
      <w:r>
        <w:rPr>
          <w:color w:val="1155CC"/>
          <w:u w:val="single"/>
        </w:rPr>
        <w:fldChar w:fldCharType="end"/>
      </w:r>
      <w:r>
        <w:t xml:space="preserve"> </w:t>
      </w:r>
      <w:r>
        <w:fldChar w:fldCharType="begin"/>
      </w:r>
      <w:r>
        <w:instrText xml:space="preserve"> HYPERLINK "https://www.bdtheque.com/series/18539/in-waves" \h </w:instrText>
      </w:r>
      <w:r>
        <w:fldChar w:fldCharType="separate"/>
      </w:r>
      <w:r>
        <w:rPr>
          <w:color w:val="1155CC"/>
          <w:u w:val="single"/>
        </w:rPr>
        <w:t>https://www.bdtheque.com/series/18539/in-waves (maladies et épidémies)</w:t>
      </w:r>
      <w:r>
        <w:rPr>
          <w:color w:val="1155CC"/>
          <w:u w:val="single"/>
        </w:rPr>
        <w:fldChar w:fldCharType="end"/>
      </w:r>
    </w:p>
    <w:p>
      <w:pPr>
        <w:pStyle w:val="4"/>
        <w:spacing w:before="240"/>
        <w:rPr>
          <w:b/>
          <w:lang w:val="en-US"/>
        </w:rPr>
      </w:pPr>
      <w:bookmarkStart w:id="6" w:name="_932c3q9cot8u" w:colFirst="0" w:colLast="0"/>
      <w:bookmarkEnd w:id="6"/>
      <w:r>
        <w:rPr>
          <w:b/>
          <w:lang w:val="en-US"/>
        </w:rPr>
        <w:t>Filmographie</w:t>
      </w:r>
    </w:p>
    <w:p>
      <w:pPr>
        <w:spacing w:before="240"/>
        <w:rPr>
          <w:lang w:val="en-US"/>
        </w:rPr>
      </w:pPr>
      <w:r>
        <w:rPr>
          <w:lang w:val="en-US"/>
        </w:rPr>
        <w:t xml:space="preserve">Agnes Varda, </w:t>
      </w:r>
      <w:r>
        <w:rPr>
          <w:i/>
          <w:lang w:val="en-US"/>
        </w:rPr>
        <w:t xml:space="preserve">Cléo de 5 à 7 </w:t>
      </w:r>
      <w:r>
        <w:rPr>
          <w:lang w:val="en-US"/>
        </w:rPr>
        <w:t xml:space="preserve">(1962) David Lynch, </w:t>
      </w:r>
      <w:r>
        <w:rPr>
          <w:i/>
          <w:lang w:val="en-US"/>
        </w:rPr>
        <w:t xml:space="preserve">Elephant man </w:t>
      </w:r>
      <w:r>
        <w:rPr>
          <w:lang w:val="en-US"/>
        </w:rPr>
        <w:t xml:space="preserve">(1980) Jim Sheridan, My left foot (1997) Jonathan Demme, </w:t>
      </w:r>
      <w:r>
        <w:rPr>
          <w:i/>
          <w:lang w:val="en-US"/>
        </w:rPr>
        <w:t xml:space="preserve">Philadelphia </w:t>
      </w:r>
      <w:r>
        <w:rPr>
          <w:lang w:val="en-US"/>
        </w:rPr>
        <w:t xml:space="preserve">(1993) Innaritu, </w:t>
      </w:r>
      <w:r>
        <w:rPr>
          <w:i/>
          <w:lang w:val="en-US"/>
        </w:rPr>
        <w:t xml:space="preserve">21 grammes </w:t>
      </w:r>
      <w:r>
        <w:rPr>
          <w:lang w:val="en-US"/>
        </w:rPr>
        <w:t xml:space="preserve">(2003) Amenabar, </w:t>
      </w:r>
      <w:r>
        <w:rPr>
          <w:i/>
          <w:lang w:val="en-US"/>
        </w:rPr>
        <w:t xml:space="preserve">Mar adentro </w:t>
      </w:r>
      <w:r>
        <w:rPr>
          <w:lang w:val="en-US"/>
        </w:rPr>
        <w:t>(2004)</w:t>
      </w:r>
    </w:p>
    <w:p>
      <w:pPr>
        <w:spacing w:before="240"/>
      </w:pPr>
      <w:r>
        <w:t xml:space="preserve">Julian Schnabel, </w:t>
      </w:r>
      <w:r>
        <w:rPr>
          <w:i/>
        </w:rPr>
        <w:t xml:space="preserve">Le scaphandre et le papillon </w:t>
      </w:r>
      <w:r>
        <w:t xml:space="preserve">(2007) Valérie Donzelli, </w:t>
      </w:r>
      <w:r>
        <w:rPr>
          <w:i/>
        </w:rPr>
        <w:t xml:space="preserve">La guerre est déclarée </w:t>
      </w:r>
      <w:r>
        <w:t xml:space="preserve">(2011) Haneke, </w:t>
      </w:r>
      <w:r>
        <w:rPr>
          <w:i/>
        </w:rPr>
        <w:t xml:space="preserve">Amour </w:t>
      </w:r>
      <w:r>
        <w:t>(2012)</w:t>
      </w:r>
    </w:p>
    <w:p>
      <w:pPr>
        <w:spacing w:before="240"/>
      </w:pPr>
      <w:r>
        <w:t xml:space="preserve">Grand corps malade, </w:t>
      </w:r>
      <w:r>
        <w:rPr>
          <w:i/>
        </w:rPr>
        <w:t xml:space="preserve">Patients </w:t>
      </w:r>
      <w:r>
        <w:t>(2017)</w:t>
      </w:r>
    </w:p>
    <w:p>
      <w:pPr>
        <w:spacing w:before="240"/>
      </w:pPr>
      <w:r>
        <w:t xml:space="preserve">Thomas Lilti, </w:t>
      </w:r>
      <w:r>
        <w:rPr>
          <w:i/>
        </w:rPr>
        <w:t xml:space="preserve">Hippocrate </w:t>
      </w:r>
      <w:r>
        <w:t xml:space="preserve">(2014) ( voir aussi la série) </w:t>
      </w:r>
      <w:r>
        <w:rPr>
          <w:vertAlign w:val="superscript"/>
        </w:rPr>
        <w:t xml:space="preserve">- </w:t>
      </w:r>
      <w:r>
        <w:rPr>
          <w:i/>
        </w:rPr>
        <w:t xml:space="preserve">1ere année </w:t>
      </w:r>
      <w:r>
        <w:t>(2018)</w:t>
      </w:r>
    </w:p>
    <w:p>
      <w:pPr>
        <w:spacing w:before="240"/>
      </w:pPr>
      <w:r>
        <w:t xml:space="preserve">Plus de références sur </w:t>
      </w:r>
      <w:r>
        <w:fldChar w:fldCharType="begin"/>
      </w:r>
      <w:r>
        <w:instrText xml:space="preserve"> HYPERLINK "https://www.senscritique.com/top/resultats" \h </w:instrText>
      </w:r>
      <w:r>
        <w:fldChar w:fldCharType="separate"/>
      </w:r>
      <w:r>
        <w:rPr>
          <w:color w:val="1155CC"/>
          <w:u w:val="single"/>
        </w:rPr>
        <w:t>https://www.senscritique.com/top/resultats</w:t>
      </w:r>
      <w:r>
        <w:rPr>
          <w:color w:val="1155CC"/>
          <w:u w:val="single"/>
        </w:rPr>
        <w:fldChar w:fldCharType="end"/>
      </w:r>
      <w:r>
        <w:t xml:space="preserve">/ Les_meilleurs_films_sur_la_maladie/750183 </w:t>
      </w:r>
      <w:r>
        <w:fldChar w:fldCharType="begin"/>
      </w:r>
      <w:r>
        <w:instrText xml:space="preserve"> HYPERLINK "https://fr.wikipedia.org/wiki/Cat" \h </w:instrText>
      </w:r>
      <w:r>
        <w:fldChar w:fldCharType="separate"/>
      </w:r>
      <w:r>
        <w:rPr>
          <w:color w:val="1155CC"/>
          <w:u w:val="single"/>
        </w:rPr>
        <w:t>https://fr.wikipedia.org/wiki/Catégorie:Maladie_au_cinéma</w:t>
      </w:r>
      <w:r>
        <w:rPr>
          <w:color w:val="1155CC"/>
          <w:u w:val="single"/>
        </w:rPr>
        <w:fldChar w:fldCharType="end"/>
      </w:r>
    </w:p>
    <w:p>
      <w:pPr>
        <w:spacing w:before="240"/>
      </w:pPr>
      <w:r>
        <w:t xml:space="preserve">Sur médecine et cinéma, voir aussi Céline Lefève, </w:t>
      </w:r>
      <w:r>
        <w:rPr>
          <w:i/>
        </w:rPr>
        <w:t>Devenir médecin</w:t>
      </w:r>
      <w:r>
        <w:t xml:space="preserve">, PUF (bibliographie très détaillée à la fin de l’ouvrage) </w:t>
      </w:r>
    </w:p>
    <w:p>
      <w:pPr>
        <w:spacing w:before="240"/>
      </w:pPr>
    </w:p>
    <w:p>
      <w:r>
        <w:t>Et suivre sur Facebook : ciné-club barberousse. médecine et soin au cinéma</w:t>
      </w:r>
    </w:p>
    <w:p>
      <w:r>
        <w:fldChar w:fldCharType="begin"/>
      </w:r>
      <w:r>
        <w:instrText xml:space="preserve"> HYPERLINK "https://culture.u-paris.fr/cine-club-barberousse-medecine-et-soin-au-cinema" \h </w:instrText>
      </w:r>
      <w:r>
        <w:fldChar w:fldCharType="separate"/>
      </w:r>
      <w:r>
        <w:rPr>
          <w:color w:val="1155CC"/>
          <w:u w:val="single"/>
        </w:rPr>
        <w:t>https://culture.u-paris.fr/cine-club-barberousse-medecine-et-soin-au-cinema</w:t>
      </w:r>
      <w:r>
        <w:rPr>
          <w:color w:val="1155CC"/>
          <w:u w:val="single"/>
        </w:rPr>
        <w:fldChar w:fldCharType="end"/>
      </w:r>
    </w:p>
    <w:p>
      <w:pPr>
        <w:pStyle w:val="4"/>
        <w:spacing w:before="240"/>
        <w:rPr>
          <w:b/>
        </w:rPr>
      </w:pPr>
      <w:bookmarkStart w:id="7" w:name="_6g45un661y51" w:colFirst="0" w:colLast="0"/>
      <w:bookmarkEnd w:id="7"/>
    </w:p>
    <w:p>
      <w:pPr>
        <w:pStyle w:val="4"/>
        <w:spacing w:before="240"/>
        <w:rPr>
          <w:b/>
        </w:rPr>
      </w:pPr>
      <w:bookmarkStart w:id="8" w:name="_tegzz44waif7" w:colFirst="0" w:colLast="0"/>
      <w:bookmarkEnd w:id="8"/>
      <w:r>
        <w:rPr>
          <w:b/>
        </w:rPr>
        <w:t>Conférences en ligne</w:t>
      </w:r>
    </w:p>
    <w:p>
      <w:pPr>
        <w:spacing w:before="240"/>
      </w:pPr>
      <w:r>
        <w:t>Conférences du Séminaire International d’Etudes sur le Soin (Ecole Normale Supérieure)</w:t>
      </w:r>
    </w:p>
    <w:p>
      <w:pPr>
        <w:spacing w:before="240"/>
      </w:pPr>
      <w:r>
        <w:rPr>
          <w:i/>
        </w:rPr>
        <w:t xml:space="preserve">Les « Conversations autour du soin » </w:t>
      </w:r>
      <w:r>
        <w:t>proposent une discussion autour d’un ouvrage philosophique, d’une œuvre artistique ou de recherches médicales abordant des questions liées au soin. Elles portent sur les différentes dimensions de l’expérience de la maladie, de la souffrance et du soin, non exclusivement médical.</w:t>
      </w:r>
    </w:p>
    <w:p>
      <w:pPr>
        <w:spacing w:before="240"/>
      </w:pPr>
    </w:p>
    <w:p>
      <w:r>
        <w:t xml:space="preserve">- </w:t>
      </w:r>
      <w:r>
        <w:rPr>
          <w:color w:val="0000FF"/>
        </w:rPr>
        <w:t xml:space="preserve">Séance du cycle </w:t>
      </w:r>
      <w:r>
        <w:rPr>
          <w:i/>
          <w:color w:val="0000FF"/>
        </w:rPr>
        <w:t xml:space="preserve">Les « Conversations autour du soin </w:t>
      </w:r>
      <w:r>
        <w:rPr>
          <w:i/>
        </w:rPr>
        <w:t xml:space="preserve">» </w:t>
      </w:r>
      <w:r>
        <w:t xml:space="preserve">avec </w:t>
      </w:r>
      <w:r>
        <w:rPr>
          <w:b/>
        </w:rPr>
        <w:t xml:space="preserve">Chloé Bertolus </w:t>
      </w:r>
      <w:r>
        <w:t xml:space="preserve">qui dirige le service de chirurgie maxilo-faciale à la Pitié Salpétrière à Paris (AP-HP-Sorbonne Université) et </w:t>
      </w:r>
      <w:r>
        <w:rPr>
          <w:b/>
        </w:rPr>
        <w:t xml:space="preserve">Philippe Lançon, </w:t>
      </w:r>
      <w:r>
        <w:t xml:space="preserve">journaliste et écrivain, auteur du </w:t>
      </w:r>
      <w:r>
        <w:rPr>
          <w:i/>
        </w:rPr>
        <w:t>Lambeau</w:t>
      </w:r>
      <w:r>
        <w:t>, ouvrage couronné par le prix Fémina et le prix spécial Renaudot.</w:t>
      </w:r>
    </w:p>
    <w:p>
      <w:r>
        <w:fldChar w:fldCharType="begin"/>
      </w:r>
      <w:r>
        <w:instrText xml:space="preserve"> HYPERLINK "https://savoirs.ens.fr/expose.php?id=3783" \h </w:instrText>
      </w:r>
      <w:r>
        <w:fldChar w:fldCharType="separate"/>
      </w:r>
      <w:r>
        <w:rPr>
          <w:color w:val="1155CC"/>
          <w:u w:val="single"/>
        </w:rPr>
        <w:t>https://savoirs.ens.fr/expose.php?id=3783</w:t>
      </w:r>
      <w:r>
        <w:rPr>
          <w:color w:val="1155CC"/>
          <w:u w:val="single"/>
        </w:rPr>
        <w:fldChar w:fldCharType="end"/>
      </w:r>
    </w:p>
    <w:p>
      <w:pPr>
        <w:spacing w:before="240"/>
      </w:pPr>
      <w:r>
        <w:t xml:space="preserve">- </w:t>
      </w:r>
      <w:r>
        <w:rPr>
          <w:color w:val="4A86E8"/>
        </w:rPr>
        <w:t xml:space="preserve">Séance du cycle </w:t>
      </w:r>
      <w:r>
        <w:rPr>
          <w:i/>
          <w:color w:val="4A86E8"/>
        </w:rPr>
        <w:t xml:space="preserve">Les « Conversations autour du soin » </w:t>
      </w:r>
      <w:r>
        <w:t xml:space="preserve">avec </w:t>
      </w:r>
      <w:r>
        <w:rPr>
          <w:b/>
        </w:rPr>
        <w:t>Tristan Garcia</w:t>
      </w:r>
      <w:r>
        <w:t>, écrivain et maître de conférences en philosophie à l'Université Lyon-III, auteur d’</w:t>
      </w:r>
      <w:r>
        <w:rPr>
          <w:i/>
        </w:rPr>
        <w:t>Ames. Histoire de la souffrance I</w:t>
      </w:r>
      <w:r>
        <w:t>, Gallimard, 2019.</w:t>
      </w:r>
    </w:p>
    <w:p>
      <w:pPr>
        <w:spacing w:before="240"/>
      </w:pPr>
      <w:r>
        <w:t xml:space="preserve">Conversation libre avec l'auteur sur son roman </w:t>
      </w:r>
      <w:r>
        <w:rPr>
          <w:i/>
        </w:rPr>
        <w:t>Ames. Histoire de la souffrance I</w:t>
      </w:r>
      <w:r>
        <w:t>, où il livre un grand récit et historique de la souffrance où la chair se fait verbe pour mieux décrire notre humaine condition.</w:t>
      </w:r>
    </w:p>
    <w:p>
      <w:pPr>
        <w:spacing w:before="240"/>
      </w:pPr>
      <w:r>
        <w:t xml:space="preserve">Quels sont les êtres capables de souffrance ? Les humains, les animaux, les végétaux, les cailloux ? Et jusqu’où va la souffrance en nous-mêmes, quelle part de nous peut-elle atteindre ? </w:t>
      </w:r>
      <w:r>
        <w:fldChar w:fldCharType="begin"/>
      </w:r>
      <w:r>
        <w:instrText xml:space="preserve"> HYPERLINK "https://savoirs.ens.fr/expose.php?id=3802" \h </w:instrText>
      </w:r>
      <w:r>
        <w:fldChar w:fldCharType="separate"/>
      </w:r>
      <w:r>
        <w:rPr>
          <w:color w:val="1155CC"/>
          <w:u w:val="single"/>
        </w:rPr>
        <w:t>https://savoirs.ens.fr/expose.php?id=3802</w:t>
      </w:r>
      <w:r>
        <w:rPr>
          <w:color w:val="1155CC"/>
          <w:u w:val="single"/>
        </w:rPr>
        <w:fldChar w:fldCharType="end"/>
      </w:r>
    </w:p>
    <w:p>
      <w:pPr>
        <w:spacing w:before="240"/>
      </w:pPr>
    </w:p>
    <w:p>
      <w:pPr>
        <w:spacing w:before="240"/>
      </w:pPr>
      <w:r>
        <w:t xml:space="preserve">- </w:t>
      </w:r>
      <w:r>
        <w:rPr>
          <w:color w:val="4A86E8"/>
        </w:rPr>
        <w:t>Séance du cycle Les « Conversations autour du soin »</w:t>
      </w:r>
      <w:r>
        <w:t xml:space="preserve"> avec </w:t>
      </w:r>
      <w:r>
        <w:rPr>
          <w:b/>
        </w:rPr>
        <w:t xml:space="preserve">Marie-Caroline Saglio- Yatzimirsky, </w:t>
      </w:r>
      <w:r>
        <w:t xml:space="preserve">professeur d’anthropologie à l’INALCO, psychologue, et auteur de </w:t>
      </w:r>
      <w:r>
        <w:rPr>
          <w:i/>
        </w:rPr>
        <w:t xml:space="preserve">La voix de ceux qui crient. </w:t>
      </w:r>
      <w:r>
        <w:t>Rencontre avec des demandeurs d’asile, Albin Michel, 2018.</w:t>
      </w:r>
    </w:p>
    <w:p>
      <w:pPr>
        <w:spacing w:before="240"/>
      </w:pPr>
    </w:p>
    <w:p>
      <w:pPr>
        <w:jc w:val="both"/>
      </w:pPr>
      <w:r>
        <w:t>Depuis 2010, à l’hôpital Avicenne de Bobigny, Marie-Caroline Saglio-Yatzimirsky rencontre ces hommes et ces femmes à bout de souffle. Elle rapporte ici les paroles qui lui ont été confiées dans le vif de la consultation. Et révèle comment, dans ce cadre, les demandeurs d’asile se mettent en quête de retrouver leur voix</w:t>
      </w:r>
    </w:p>
    <w:p>
      <w:pPr>
        <w:jc w:val="both"/>
      </w:pPr>
      <w:r>
        <w:fldChar w:fldCharType="begin"/>
      </w:r>
      <w:r>
        <w:instrText xml:space="preserve"> HYPERLINK "https://savoirs.ens.fr/expose.php?id=3831" \h </w:instrText>
      </w:r>
      <w:r>
        <w:fldChar w:fldCharType="separate"/>
      </w:r>
      <w:r>
        <w:rPr>
          <w:color w:val="1155CC"/>
          <w:u w:val="single"/>
        </w:rPr>
        <w:t>https://savoirs.ens.fr/expose.php?id=3831</w:t>
      </w:r>
      <w:r>
        <w:rPr>
          <w:color w:val="1155CC"/>
          <w:u w:val="single"/>
        </w:rPr>
        <w:fldChar w:fldCharType="end"/>
      </w:r>
    </w:p>
    <w:p>
      <w:pPr>
        <w:spacing w:before="240"/>
      </w:pPr>
      <w:r>
        <w:t>Pour suivre les activités du séminaire, sur Facebook : sies séminaire international d'etudes sur le soin</w:t>
      </w:r>
    </w:p>
    <w:p>
      <w:pPr>
        <w:spacing w:before="240"/>
      </w:pPr>
    </w:p>
    <w:p>
      <w:pPr>
        <w:pStyle w:val="2"/>
      </w:pPr>
      <w:bookmarkStart w:id="9" w:name="_zc5dzohthrme" w:colFirst="0" w:colLast="0"/>
      <w:bookmarkEnd w:id="9"/>
      <w:r>
        <w:t>Philosophie et droit</w:t>
      </w:r>
    </w:p>
    <w:p>
      <w:pPr>
        <w:pStyle w:val="4"/>
        <w:spacing w:before="240"/>
        <w:rPr>
          <w:b/>
        </w:rPr>
      </w:pPr>
      <w:r>
        <w:rPr>
          <w:b/>
        </w:rPr>
        <w:t>Historiens du droit</w:t>
      </w:r>
    </w:p>
    <w:p>
      <w:pPr>
        <w:ind w:right="600"/>
      </w:pPr>
      <w:r>
        <w:t xml:space="preserve">Michel Villey est un historien du droit très accessible : </w:t>
      </w:r>
      <w:r>
        <w:rPr>
          <w:i/>
        </w:rPr>
        <w:t>Le droit et les droits de l'homme</w:t>
      </w:r>
      <w:r>
        <w:t>, PUF</w:t>
      </w:r>
    </w:p>
    <w:p>
      <w:pPr>
        <w:ind w:right="600"/>
      </w:pPr>
    </w:p>
    <w:p>
      <w:pPr>
        <w:ind w:right="600"/>
      </w:pPr>
      <w:r>
        <w:t xml:space="preserve">Michel Troper également : </w:t>
      </w:r>
      <w:r>
        <w:rPr>
          <w:i/>
        </w:rPr>
        <w:t>La philosophie du droit</w:t>
      </w:r>
      <w:r>
        <w:t>. Collection Que sais-je?</w:t>
      </w:r>
    </w:p>
    <w:p>
      <w:pPr>
        <w:ind w:right="1140"/>
      </w:pPr>
    </w:p>
    <w:p>
      <w:pPr>
        <w:ind w:right="1140"/>
      </w:pPr>
      <w:r>
        <w:t xml:space="preserve">Jacques Krynen : </w:t>
      </w:r>
      <w:r>
        <w:rPr>
          <w:i/>
        </w:rPr>
        <w:t>Le théâtre juridique</w:t>
      </w:r>
      <w:r>
        <w:t xml:space="preserve">. Pour un aperçu historique un peu général </w:t>
      </w:r>
    </w:p>
    <w:p>
      <w:pPr>
        <w:ind w:left="600" w:right="600"/>
        <w:rPr>
          <w:u w:val="single"/>
        </w:rPr>
      </w:pPr>
    </w:p>
    <w:p>
      <w:pPr>
        <w:pStyle w:val="4"/>
        <w:spacing w:before="240"/>
        <w:rPr>
          <w:b/>
        </w:rPr>
      </w:pPr>
      <w:r>
        <w:rPr>
          <w:b/>
        </w:rPr>
        <w:t>Textes philosophiques</w:t>
      </w:r>
    </w:p>
    <w:p>
      <w:pPr>
        <w:ind w:right="1140"/>
      </w:pPr>
      <w:r>
        <w:t xml:space="preserve">Locke, </w:t>
      </w:r>
      <w:r>
        <w:rPr>
          <w:i/>
        </w:rPr>
        <w:t>Traité du gouvernement civil</w:t>
      </w:r>
      <w:r>
        <w:t>. Les premiers chapitres et surtout le chapitre 5 sur le droit de propriété.</w:t>
      </w:r>
    </w:p>
    <w:p>
      <w:pPr>
        <w:ind w:left="1140" w:right="1140"/>
      </w:pPr>
    </w:p>
    <w:p>
      <w:pPr>
        <w:ind w:right="1140"/>
        <w:rPr>
          <w:i/>
        </w:rPr>
      </w:pPr>
      <w:r>
        <w:t xml:space="preserve">Beccaria : </w:t>
      </w:r>
      <w:r>
        <w:rPr>
          <w:i/>
        </w:rPr>
        <w:t>Des délits et des Peines</w:t>
      </w:r>
    </w:p>
    <w:p>
      <w:pPr>
        <w:ind w:left="1140" w:right="1140"/>
      </w:pPr>
    </w:p>
    <w:p>
      <w:pPr>
        <w:ind w:right="1140"/>
        <w:rPr>
          <w:i/>
        </w:rPr>
      </w:pPr>
      <w:r>
        <w:t xml:space="preserve">Léo Strauss : </w:t>
      </w:r>
      <w:r>
        <w:rPr>
          <w:i/>
        </w:rPr>
        <w:t>Droit naturel et histoire</w:t>
      </w:r>
    </w:p>
    <w:p>
      <w:pPr>
        <w:ind w:right="1140"/>
      </w:pPr>
    </w:p>
    <w:p>
      <w:pPr>
        <w:ind w:right="1140"/>
      </w:pPr>
      <w:r>
        <w:t xml:space="preserve">Plus difficile: Hans Kelsen, </w:t>
      </w:r>
      <w:r>
        <w:rPr>
          <w:i/>
        </w:rPr>
        <w:t>Théorie pure du droit</w:t>
      </w:r>
      <w:r>
        <w:t>,  (les 4, 5 premiers chapitres)</w:t>
      </w:r>
    </w:p>
    <w:p>
      <w:pPr>
        <w:ind w:left="1140" w:right="1140"/>
      </w:pPr>
    </w:p>
    <w:p>
      <w:pPr>
        <w:pStyle w:val="4"/>
        <w:spacing w:before="240"/>
        <w:rPr>
          <w:b/>
        </w:rPr>
      </w:pPr>
      <w:r>
        <w:rPr>
          <w:b/>
        </w:rPr>
        <w:t>Textes littéraires et films pouvant introduire une réflexion sur le droit</w:t>
      </w:r>
    </w:p>
    <w:p>
      <w:pPr>
        <w:rPr>
          <w:i/>
        </w:rPr>
      </w:pPr>
      <w:r>
        <w:t xml:space="preserve">Kafka, </w:t>
      </w:r>
      <w:r>
        <w:rPr>
          <w:i/>
        </w:rPr>
        <w:t>La Colonie Pénitentiaire</w:t>
      </w:r>
    </w:p>
    <w:p/>
    <w:p>
      <w:r>
        <w:t>Ian McEwan</w:t>
      </w:r>
      <w:r>
        <w:rPr>
          <w:i/>
          <w:iCs/>
        </w:rPr>
        <w:t>, L'intérêt de l'enfant</w:t>
      </w:r>
      <w:r>
        <w:rPr>
          <w:i/>
          <w:iCs/>
        </w:rPr>
        <w:br w:type="textWrapping"/>
      </w:r>
      <w:r>
        <w:t xml:space="preserve">Voir aussi le film </w:t>
      </w:r>
      <w:r>
        <w:rPr>
          <w:i/>
          <w:iCs/>
        </w:rPr>
        <w:t>My Lady</w:t>
      </w:r>
      <w:r>
        <w:t>  inspiré du roman. </w:t>
      </w:r>
    </w:p>
    <w:p>
      <w:r>
        <w:fldChar w:fldCharType="begin"/>
      </w:r>
      <w:r>
        <w:instrText xml:space="preserve"> HYPERLINK "https://www.youtube.com/watch?v=x0PGnrkwAIs" </w:instrText>
      </w:r>
      <w:r>
        <w:fldChar w:fldCharType="separate"/>
      </w:r>
      <w:r>
        <w:rPr>
          <w:rStyle w:val="16"/>
        </w:rPr>
        <w:t>https://www.youtube.com/watch?v=x0PGnrkwAIs</w:t>
      </w:r>
      <w:r>
        <w:rPr>
          <w:rStyle w:val="16"/>
        </w:rPr>
        <w:fldChar w:fldCharType="end"/>
      </w:r>
    </w:p>
    <w:p/>
    <w:p>
      <w:r>
        <w:t xml:space="preserve">Eric Emmanuel Schmitt, </w:t>
      </w:r>
      <w:r>
        <w:rPr>
          <w:i/>
          <w:iCs/>
        </w:rPr>
        <w:t>Lorsque j'étais une oeuvre d'art</w:t>
      </w:r>
      <w:r>
        <w:rPr>
          <w:i/>
          <w:iCs/>
        </w:rPr>
        <w:br w:type="textWrapping"/>
      </w:r>
      <w:r>
        <w:t xml:space="preserve">Voir aussi la video </w:t>
      </w:r>
      <w:r>
        <w:rPr>
          <w:i/>
          <w:iCs/>
        </w:rPr>
        <w:t xml:space="preserve">Skin the Game </w:t>
      </w:r>
      <w:r>
        <w:fldChar w:fldCharType="begin"/>
      </w:r>
      <w:r>
        <w:instrText xml:space="preserve"> HYPERLINK "https://www.ulyces.co/news/cet-homme-oeuvre-dart-sassied-six-heures-par-jour-dans-un-musee-vide/" </w:instrText>
      </w:r>
      <w:r>
        <w:fldChar w:fldCharType="separate"/>
      </w:r>
      <w:r>
        <w:rPr>
          <w:rStyle w:val="16"/>
          <w:iCs/>
        </w:rPr>
        <w:t>https://www.ulyces.co/news/cet-homme-oeuvre-dart-sassied-six-heures-par-jour-dans-un-musee-vide</w:t>
      </w:r>
      <w:r>
        <w:rPr>
          <w:rStyle w:val="16"/>
          <w:iCs/>
        </w:rPr>
        <w:fldChar w:fldCharType="end"/>
      </w:r>
      <w:r>
        <w:rPr>
          <w:i/>
          <w:iCs/>
        </w:rPr>
        <w:t>/</w:t>
      </w:r>
    </w:p>
    <w:p/>
    <w:p>
      <w:r>
        <w:t xml:space="preserve">Ivan Jablonka, </w:t>
      </w:r>
      <w:r>
        <w:rPr>
          <w:i/>
          <w:iCs/>
        </w:rPr>
        <w:t>Laëtitia (</w:t>
      </w:r>
      <w:r>
        <w:t>sur le rôle du juge d'instruction, le procès aux assises)</w:t>
      </w:r>
      <w:r>
        <w:br w:type="textWrapping"/>
      </w:r>
      <w:r>
        <w:t>Voir aussi la présentation du roman à La grande Librairie </w:t>
      </w:r>
    </w:p>
    <w:p>
      <w:r>
        <w:fldChar w:fldCharType="begin"/>
      </w:r>
      <w:r>
        <w:instrText xml:space="preserve"> HYPERLINK "https://www.youtube.com/watch?v=bDDrdpnkqEM" </w:instrText>
      </w:r>
      <w:r>
        <w:fldChar w:fldCharType="separate"/>
      </w:r>
      <w:r>
        <w:rPr>
          <w:rStyle w:val="16"/>
        </w:rPr>
        <w:t>https://www.youtube.com/watch?v=bDDrdpnkqEM</w:t>
      </w:r>
      <w:r>
        <w:rPr>
          <w:rStyle w:val="16"/>
        </w:rPr>
        <w:fldChar w:fldCharType="end"/>
      </w:r>
    </w:p>
    <w:p>
      <w:pPr>
        <w:pStyle w:val="2"/>
        <w:ind w:right="1140"/>
      </w:pPr>
      <w:bookmarkStart w:id="10" w:name="_w8tf73vgye6t" w:colFirst="0" w:colLast="0"/>
      <w:bookmarkEnd w:id="10"/>
      <w:r>
        <w:t>CPGE scientifiques</w:t>
      </w:r>
    </w:p>
    <w:p>
      <w:pPr>
        <w:ind w:right="1140"/>
        <w:rPr>
          <w:rFonts w:hint="default"/>
          <w:lang w:val="fr-FR"/>
        </w:rPr>
      </w:pPr>
      <w:r>
        <w:rPr>
          <w:rFonts w:hint="default"/>
          <w:lang w:val="fr-FR"/>
        </w:rPr>
        <w:t xml:space="preserve">Le programme 2023-2024 </w:t>
      </w:r>
      <w:bookmarkStart w:id="16" w:name="_GoBack"/>
      <w:bookmarkEnd w:id="16"/>
      <w:r>
        <w:rPr>
          <w:rFonts w:hint="default"/>
          <w:lang w:val="fr-FR"/>
        </w:rPr>
        <w:t>n’a pas été encore publié</w:t>
      </w:r>
    </w:p>
    <w:p>
      <w:pPr>
        <w:pStyle w:val="2"/>
      </w:pPr>
      <w:bookmarkStart w:id="11" w:name="_agubx28t2pv5" w:colFirst="0" w:colLast="0"/>
      <w:bookmarkEnd w:id="11"/>
      <w:r>
        <w:t>CPGE littéraires et économiques/ étudiants en philosophie</w:t>
      </w:r>
    </w:p>
    <w:p>
      <w:pPr>
        <w:ind w:right="600"/>
      </w:pPr>
      <w:r>
        <w:t>On peut inciter les élèves à se constituer leur culture philosophique et littéraire personnelle à raison d'une à deux heures de lecture quotidiennes.</w:t>
      </w:r>
    </w:p>
    <w:p>
      <w:pPr>
        <w:ind w:left="600" w:right="600"/>
      </w:pPr>
    </w:p>
    <w:p>
      <w:pPr>
        <w:ind w:right="600"/>
      </w:pPr>
      <w:r>
        <w:rPr>
          <w:b/>
          <w:i/>
        </w:rPr>
        <w:t>Trois directions de lectures</w:t>
      </w:r>
      <w:r>
        <w:t>, qui peuvent se combiner, pourraient être proposées des élèves :  une lecture en extension ; une lecture en approfondissement autour d'une œuvre ; une lecture autour d'un thème. Pour s'adresser très largement aux futurs étudiants, on peut privilégier des textes relativement courts et sans difficulté technique.</w:t>
      </w:r>
    </w:p>
    <w:p>
      <w:pPr>
        <w:ind w:left="1140" w:right="1140"/>
      </w:pPr>
    </w:p>
    <w:p>
      <w:pPr>
        <w:ind w:right="600"/>
      </w:pPr>
      <w:r>
        <w:rPr>
          <w:u w:val="single"/>
        </w:rPr>
        <w:t xml:space="preserve">Pour une lecture en extension </w:t>
      </w:r>
      <w:r>
        <w:t>:</w:t>
      </w:r>
    </w:p>
    <w:p>
      <w:pPr>
        <w:numPr>
          <w:ilvl w:val="0"/>
          <w:numId w:val="1"/>
        </w:numPr>
        <w:ind w:right="600"/>
      </w:pPr>
      <w:r>
        <w:t xml:space="preserve">Platon, </w:t>
      </w:r>
      <w:r>
        <w:rPr>
          <w:i/>
        </w:rPr>
        <w:t>Gorgias,</w:t>
      </w:r>
    </w:p>
    <w:p>
      <w:pPr>
        <w:numPr>
          <w:ilvl w:val="0"/>
          <w:numId w:val="1"/>
        </w:numPr>
        <w:ind w:right="600"/>
      </w:pPr>
      <w:r>
        <w:t>Saint Augustin</w:t>
      </w:r>
      <w:r>
        <w:rPr>
          <w:i/>
        </w:rPr>
        <w:t>, Confessions (au moins Livre I à X),</w:t>
      </w:r>
    </w:p>
    <w:p>
      <w:pPr>
        <w:numPr>
          <w:ilvl w:val="0"/>
          <w:numId w:val="1"/>
        </w:numPr>
        <w:ind w:right="600"/>
      </w:pPr>
      <w:r>
        <w:t>Montaigne</w:t>
      </w:r>
      <w:r>
        <w:rPr>
          <w:i/>
        </w:rPr>
        <w:t>, Essais, (Avertissement au lecteur ; I, 31, Des Cannibales ; III, 2, Du repentir). Il existe des versions en français moderne. L'édition de C. Pinganaud chez Arléa avec le texte original en orthographe modernisée est intéressante</w:t>
      </w:r>
    </w:p>
    <w:p>
      <w:pPr>
        <w:numPr>
          <w:ilvl w:val="0"/>
          <w:numId w:val="1"/>
        </w:numPr>
        <w:ind w:right="600"/>
      </w:pPr>
      <w:r>
        <w:t>R.Descartes</w:t>
      </w:r>
      <w:r>
        <w:rPr>
          <w:i/>
        </w:rPr>
        <w:t>, Discours de la méthode (parties I, II et III),</w:t>
      </w:r>
    </w:p>
    <w:p>
      <w:pPr>
        <w:numPr>
          <w:ilvl w:val="0"/>
          <w:numId w:val="1"/>
        </w:numPr>
        <w:ind w:right="600"/>
      </w:pPr>
      <w:r>
        <w:t>Pascal</w:t>
      </w:r>
      <w:r>
        <w:rPr>
          <w:i/>
        </w:rPr>
        <w:t xml:space="preserve">, Préface au Traité du vide, </w:t>
      </w:r>
    </w:p>
    <w:p>
      <w:pPr>
        <w:numPr>
          <w:ilvl w:val="0"/>
          <w:numId w:val="1"/>
        </w:numPr>
        <w:ind w:right="600"/>
      </w:pPr>
      <w:r>
        <w:t>J.J. Rousseau</w:t>
      </w:r>
      <w:r>
        <w:rPr>
          <w:i/>
        </w:rPr>
        <w:t>, Discours sur l'origine et les fondements de l'inégalité parmi les hommes,</w:t>
      </w:r>
    </w:p>
    <w:p>
      <w:pPr>
        <w:numPr>
          <w:ilvl w:val="0"/>
          <w:numId w:val="1"/>
        </w:numPr>
        <w:ind w:right="600"/>
      </w:pPr>
      <w:r>
        <w:t xml:space="preserve">E. Kant, </w:t>
      </w:r>
      <w:r>
        <w:rPr>
          <w:i/>
        </w:rPr>
        <w:t>Idée d'une histoire universelle d'un point de vue cosmopolitique,</w:t>
      </w:r>
    </w:p>
    <w:p>
      <w:pPr>
        <w:numPr>
          <w:ilvl w:val="0"/>
          <w:numId w:val="1"/>
        </w:numPr>
        <w:ind w:right="600"/>
      </w:pPr>
      <w:r>
        <w:t>H.Bergson</w:t>
      </w:r>
      <w:r>
        <w:rPr>
          <w:i/>
        </w:rPr>
        <w:t>, La pensée et le mouvant,</w:t>
      </w:r>
    </w:p>
    <w:p>
      <w:pPr>
        <w:numPr>
          <w:ilvl w:val="0"/>
          <w:numId w:val="1"/>
        </w:numPr>
        <w:ind w:right="600"/>
        <w:rPr>
          <w:i/>
        </w:rPr>
      </w:pPr>
      <w:r>
        <w:rPr>
          <w:i/>
        </w:rPr>
        <w:t>S.Weil, L'enracinement ( les premiers chapitres).</w:t>
      </w:r>
    </w:p>
    <w:p>
      <w:pPr>
        <w:ind w:left="600" w:right="600"/>
      </w:pPr>
    </w:p>
    <w:p>
      <w:pPr>
        <w:ind w:right="600"/>
      </w:pPr>
      <w:r>
        <w:rPr>
          <w:u w:val="single"/>
        </w:rPr>
        <w:t>Pour un approfondissement</w:t>
      </w:r>
      <w:r>
        <w:t xml:space="preserve"> : se concentrer sur un auteur pour familiariser les élèves avec la cohérence d'ensemble d'une pensée.</w:t>
      </w:r>
    </w:p>
    <w:p>
      <w:pPr>
        <w:ind w:right="600"/>
      </w:pPr>
      <w:r>
        <w:t>Par exemple J.J Rousseau pour la clarté de son style et son articulation lettres-philosophie:</w:t>
      </w:r>
    </w:p>
    <w:p>
      <w:pPr>
        <w:numPr>
          <w:ilvl w:val="0"/>
          <w:numId w:val="2"/>
        </w:numPr>
        <w:ind w:right="600"/>
        <w:rPr>
          <w:i/>
        </w:rPr>
      </w:pPr>
      <w:r>
        <w:rPr>
          <w:i/>
        </w:rPr>
        <w:t>Discours sur l'origine et les fondements de l'inégalité parmi les hommes,</w:t>
      </w:r>
    </w:p>
    <w:p>
      <w:pPr>
        <w:numPr>
          <w:ilvl w:val="0"/>
          <w:numId w:val="2"/>
        </w:numPr>
        <w:ind w:right="600"/>
        <w:rPr>
          <w:i/>
        </w:rPr>
      </w:pPr>
      <w:r>
        <w:rPr>
          <w:i/>
        </w:rPr>
        <w:t>Les Confessions ( les premiers livres)</w:t>
      </w:r>
    </w:p>
    <w:p>
      <w:pPr>
        <w:numPr>
          <w:ilvl w:val="0"/>
          <w:numId w:val="2"/>
        </w:numPr>
        <w:ind w:right="600"/>
      </w:pPr>
      <w:r>
        <w:rPr>
          <w:i/>
        </w:rPr>
        <w:t>Emile</w:t>
      </w:r>
      <w:r>
        <w:t>, I, II et IV,</w:t>
      </w:r>
    </w:p>
    <w:p>
      <w:pPr>
        <w:numPr>
          <w:ilvl w:val="0"/>
          <w:numId w:val="2"/>
        </w:numPr>
        <w:ind w:right="600"/>
      </w:pPr>
      <w:r>
        <w:rPr>
          <w:i/>
        </w:rPr>
        <w:t>Du Contrat social</w:t>
      </w:r>
      <w:r>
        <w:t xml:space="preserve"> (ne pas se limiter aux Livres I et II),</w:t>
      </w:r>
    </w:p>
    <w:p>
      <w:pPr>
        <w:numPr>
          <w:ilvl w:val="0"/>
          <w:numId w:val="2"/>
        </w:numPr>
        <w:ind w:right="600"/>
        <w:rPr>
          <w:i/>
        </w:rPr>
      </w:pPr>
      <w:r>
        <w:rPr>
          <w:i/>
        </w:rPr>
        <w:t>Les Rêveries du promeneur solitaire.</w:t>
      </w:r>
    </w:p>
    <w:p>
      <w:pPr>
        <w:numPr>
          <w:ilvl w:val="0"/>
          <w:numId w:val="2"/>
        </w:numPr>
        <w:ind w:right="600"/>
        <w:rPr>
          <w:i/>
        </w:rPr>
      </w:pPr>
      <w:r>
        <w:rPr>
          <w:i/>
        </w:rPr>
        <w:t>La Nouvelle Héloïse (au choix)</w:t>
      </w:r>
    </w:p>
    <w:p>
      <w:pPr>
        <w:ind w:left="600" w:right="600"/>
      </w:pPr>
    </w:p>
    <w:p>
      <w:pPr>
        <w:ind w:right="600"/>
      </w:pPr>
      <w:r>
        <w:rPr>
          <w:u w:val="single"/>
        </w:rPr>
        <w:t>Pour la lecture autour d’un thème</w:t>
      </w:r>
      <w:r>
        <w:t xml:space="preserve"> : l'écriture de soi : méditation et exploration.</w:t>
      </w:r>
    </w:p>
    <w:p>
      <w:pPr>
        <w:numPr>
          <w:ilvl w:val="0"/>
          <w:numId w:val="3"/>
        </w:numPr>
        <w:ind w:right="600"/>
      </w:pPr>
      <w:r>
        <w:t>Saint Augustin</w:t>
      </w:r>
      <w:r>
        <w:rPr>
          <w:i/>
        </w:rPr>
        <w:t>, Les Confessions</w:t>
      </w:r>
    </w:p>
    <w:p>
      <w:pPr>
        <w:numPr>
          <w:ilvl w:val="0"/>
          <w:numId w:val="3"/>
        </w:numPr>
        <w:ind w:right="600"/>
      </w:pPr>
      <w:r>
        <w:t>Montaigne</w:t>
      </w:r>
      <w:r>
        <w:rPr>
          <w:i/>
        </w:rPr>
        <w:t>, Les Essais (Avertissement au lecteur; I, 28; III, 2; III, 13),</w:t>
      </w:r>
    </w:p>
    <w:p>
      <w:pPr>
        <w:numPr>
          <w:ilvl w:val="0"/>
          <w:numId w:val="3"/>
        </w:numPr>
        <w:ind w:right="600"/>
      </w:pPr>
      <w:r>
        <w:t>R.Descartes</w:t>
      </w:r>
      <w:r>
        <w:rPr>
          <w:i/>
        </w:rPr>
        <w:t>, Discours de la méthode (Partie I),</w:t>
      </w:r>
    </w:p>
    <w:p>
      <w:pPr>
        <w:numPr>
          <w:ilvl w:val="0"/>
          <w:numId w:val="3"/>
        </w:numPr>
        <w:ind w:right="600"/>
      </w:pPr>
      <w:r>
        <w:t>J.J. Rousseau</w:t>
      </w:r>
      <w:r>
        <w:rPr>
          <w:i/>
        </w:rPr>
        <w:t>, Les Confessions</w:t>
      </w:r>
    </w:p>
    <w:p>
      <w:pPr>
        <w:numPr>
          <w:ilvl w:val="0"/>
          <w:numId w:val="3"/>
        </w:numPr>
        <w:ind w:right="600"/>
      </w:pPr>
      <w:r>
        <w:t>H.Michaux</w:t>
      </w:r>
      <w:r>
        <w:rPr>
          <w:i/>
        </w:rPr>
        <w:t>, Connaissance par les gouffres.</w:t>
      </w:r>
    </w:p>
    <w:p>
      <w:pPr>
        <w:ind w:left="600" w:right="600"/>
      </w:pPr>
    </w:p>
    <w:p>
      <w:pPr>
        <w:ind w:right="600"/>
      </w:pPr>
      <w:r>
        <w:rPr>
          <w:u w:val="single"/>
        </w:rPr>
        <w:t>Quelques suggestions de références fondamentales ( ou de "culture générale")</w:t>
      </w:r>
      <w:r>
        <w:t xml:space="preserve"> :</w:t>
      </w:r>
    </w:p>
    <w:p>
      <w:pPr>
        <w:numPr>
          <w:ilvl w:val="0"/>
          <w:numId w:val="4"/>
        </w:numPr>
        <w:ind w:right="600"/>
      </w:pPr>
      <w:r>
        <w:t xml:space="preserve">La Bible, </w:t>
      </w:r>
      <w:r>
        <w:rPr>
          <w:i/>
        </w:rPr>
        <w:t>Genèse</w:t>
      </w:r>
      <w:r>
        <w:t xml:space="preserve"> I-XXII,</w:t>
      </w:r>
    </w:p>
    <w:p>
      <w:pPr>
        <w:numPr>
          <w:ilvl w:val="0"/>
          <w:numId w:val="4"/>
        </w:numPr>
        <w:ind w:right="600"/>
      </w:pPr>
      <w:r>
        <w:t xml:space="preserve">Dante, </w:t>
      </w:r>
      <w:r>
        <w:rPr>
          <w:i/>
        </w:rPr>
        <w:t xml:space="preserve">La Divine comédie, L'Enfer </w:t>
      </w:r>
      <w:r>
        <w:t xml:space="preserve">(et on peut commencer l'ascension du </w:t>
      </w:r>
      <w:r>
        <w:rPr>
          <w:i/>
        </w:rPr>
        <w:t>Purgatoire</w:t>
      </w:r>
      <w:r>
        <w:t xml:space="preserve"> dans la lancée !)</w:t>
      </w:r>
    </w:p>
    <w:p>
      <w:pPr>
        <w:numPr>
          <w:ilvl w:val="0"/>
          <w:numId w:val="4"/>
        </w:numPr>
        <w:ind w:right="600"/>
      </w:pPr>
      <w:r>
        <w:t xml:space="preserve">Shakespeare, </w:t>
      </w:r>
      <w:r>
        <w:rPr>
          <w:i/>
        </w:rPr>
        <w:t>Macbeth et/ou Othello et/ou Hamlet et/ou Le Roi Lear,</w:t>
      </w:r>
    </w:p>
    <w:p>
      <w:pPr>
        <w:numPr>
          <w:ilvl w:val="0"/>
          <w:numId w:val="4"/>
        </w:numPr>
        <w:ind w:right="600"/>
      </w:pPr>
      <w:r>
        <w:t xml:space="preserve">Racine, </w:t>
      </w:r>
      <w:r>
        <w:rPr>
          <w:i/>
        </w:rPr>
        <w:t>Andromaque,</w:t>
      </w:r>
    </w:p>
    <w:p>
      <w:pPr>
        <w:numPr>
          <w:ilvl w:val="0"/>
          <w:numId w:val="4"/>
        </w:numPr>
        <w:ind w:right="600"/>
      </w:pPr>
      <w:r>
        <w:t xml:space="preserve">Molière, </w:t>
      </w:r>
      <w:r>
        <w:rPr>
          <w:i/>
        </w:rPr>
        <w:t>Le Misanthrope, Don Juan,</w:t>
      </w:r>
    </w:p>
    <w:p>
      <w:pPr>
        <w:numPr>
          <w:ilvl w:val="0"/>
          <w:numId w:val="4"/>
        </w:numPr>
        <w:ind w:right="600"/>
      </w:pPr>
      <w:r>
        <w:t xml:space="preserve">Victor Hugo, la </w:t>
      </w:r>
      <w:r>
        <w:rPr>
          <w:i/>
        </w:rPr>
        <w:t>Préface au Cromwell</w:t>
      </w:r>
      <w:r>
        <w:t>,</w:t>
      </w:r>
    </w:p>
    <w:p>
      <w:pPr>
        <w:numPr>
          <w:ilvl w:val="0"/>
          <w:numId w:val="4"/>
        </w:numPr>
        <w:ind w:right="600"/>
      </w:pPr>
      <w:r>
        <w:t xml:space="preserve">Rilke, </w:t>
      </w:r>
      <w:r>
        <w:rPr>
          <w:i/>
        </w:rPr>
        <w:t>Les Elégies de Duino</w:t>
      </w:r>
      <w:r>
        <w:t>.</w:t>
      </w:r>
    </w:p>
    <w:p>
      <w:pPr>
        <w:ind w:left="600" w:right="600"/>
      </w:pPr>
    </w:p>
    <w:p>
      <w:pPr>
        <w:pStyle w:val="2"/>
        <w:ind w:right="600"/>
      </w:pPr>
      <w:bookmarkStart w:id="12" w:name="_wi64bes90qhu" w:colFirst="0" w:colLast="0"/>
      <w:bookmarkEnd w:id="12"/>
      <w:r>
        <w:t>Études d'histoire</w:t>
      </w:r>
    </w:p>
    <w:p>
      <w:pPr>
        <w:ind w:right="600"/>
      </w:pPr>
      <w:r>
        <w:t>Antoine Prost, D</w:t>
      </w:r>
      <w:r>
        <w:rPr>
          <w:i/>
        </w:rPr>
        <w:t>ouze leçons sur l’histoire</w:t>
      </w:r>
      <w:r>
        <w:t>, Seuil, Paris, 1996</w:t>
      </w:r>
    </w:p>
    <w:p>
      <w:pPr>
        <w:ind w:right="600"/>
      </w:pPr>
      <w:r>
        <w:t xml:space="preserve">Paul Veyne,  </w:t>
      </w:r>
      <w:r>
        <w:rPr>
          <w:i/>
        </w:rPr>
        <w:t>Comment on écrit l’histoire</w:t>
      </w:r>
      <w:r>
        <w:t>, Seuil, Paris, 1978</w:t>
      </w:r>
    </w:p>
    <w:p>
      <w:pPr>
        <w:ind w:right="600"/>
      </w:pPr>
    </w:p>
    <w:p>
      <w:pPr>
        <w:ind w:right="600"/>
      </w:pPr>
      <w:r>
        <w:rPr>
          <w:b/>
        </w:rPr>
        <w:t xml:space="preserve">Une anthologie bien faite </w:t>
      </w:r>
      <w:r>
        <w:t xml:space="preserve">: </w:t>
      </w:r>
      <w:r>
        <w:fldChar w:fldCharType="begin"/>
      </w:r>
      <w:r>
        <w:instrText xml:space="preserve"> HYPERLINK "https://clio-texte.clionautes.org/categorie/Histoire-de-l-Histoire-327" \h </w:instrText>
      </w:r>
      <w:r>
        <w:fldChar w:fldCharType="separate"/>
      </w:r>
      <w:r>
        <w:rPr>
          <w:color w:val="1155CC"/>
          <w:u w:val="single"/>
        </w:rPr>
        <w:t>https://clio-texte.clionautes.org/categorie/Histoire-de-l-Histoire-327</w:t>
      </w:r>
      <w:r>
        <w:rPr>
          <w:color w:val="1155CC"/>
          <w:u w:val="single"/>
        </w:rPr>
        <w:fldChar w:fldCharType="end"/>
      </w:r>
    </w:p>
    <w:p>
      <w:pPr>
        <w:ind w:right="600"/>
      </w:pPr>
    </w:p>
    <w:p>
      <w:pPr>
        <w:ind w:right="600"/>
      </w:pPr>
      <w:r>
        <w:t xml:space="preserve">Foucault Michel, - « Sur les façons d’écrire l’histoire : entretien avec R. Bellout », </w:t>
      </w:r>
      <w:r>
        <w:rPr>
          <w:i/>
        </w:rPr>
        <w:t>Dits et écrits</w:t>
      </w:r>
      <w:r>
        <w:t>, t. I, 1967, pp. 585-600</w:t>
      </w:r>
    </w:p>
    <w:p>
      <w:pPr>
        <w:ind w:right="600"/>
      </w:pPr>
    </w:p>
    <w:p>
      <w:pPr>
        <w:ind w:right="600"/>
      </w:pPr>
      <w:r>
        <w:t xml:space="preserve">Revel Jacques, « Les sciences historiques », in </w:t>
      </w:r>
      <w:r>
        <w:rPr>
          <w:i/>
        </w:rPr>
        <w:t>Épistémologie des sciences sociales</w:t>
      </w:r>
      <w:r>
        <w:t>, ouvrage collectif dirigé par J.-M. Berthelot, PUF, Paris, 2001, pp. 21-76.</w:t>
      </w:r>
    </w:p>
    <w:p>
      <w:pPr>
        <w:ind w:right="600"/>
      </w:pPr>
    </w:p>
    <w:p>
      <w:pPr>
        <w:ind w:right="600"/>
        <w:rPr>
          <w:b/>
        </w:rPr>
      </w:pPr>
      <w:r>
        <w:rPr>
          <w:b/>
        </w:rPr>
        <w:t>Ouvrages fondamentaux mais parfois plus longs et difficiles d'accès :</w:t>
      </w:r>
    </w:p>
    <w:p>
      <w:pPr>
        <w:ind w:right="600"/>
      </w:pPr>
    </w:p>
    <w:p>
      <w:pPr>
        <w:ind w:right="600"/>
      </w:pPr>
      <w:r>
        <w:t xml:space="preserve">Aron  Raymond, </w:t>
      </w:r>
      <w:r>
        <w:rPr>
          <w:i/>
        </w:rPr>
        <w:t>Introduction à la philosophie de l’histoire, Essai sur les limites de l’objectivité historique</w:t>
      </w:r>
      <w:r>
        <w:t>, Gallimard, Paris, 1938.</w:t>
      </w:r>
    </w:p>
    <w:p>
      <w:pPr>
        <w:ind w:right="600"/>
      </w:pPr>
    </w:p>
    <w:p>
      <w:pPr>
        <w:ind w:right="600"/>
      </w:pPr>
      <w:r>
        <w:t xml:space="preserve">Bloch Marc, </w:t>
      </w:r>
      <w:r>
        <w:rPr>
          <w:i/>
        </w:rPr>
        <w:t>Apologie pour l’histoire ou métier d’historien</w:t>
      </w:r>
      <w:r>
        <w:t>, 1re édition 1949, Armand Colin, 1993.</w:t>
      </w:r>
    </w:p>
    <w:p>
      <w:pPr>
        <w:ind w:right="600"/>
      </w:pPr>
    </w:p>
    <w:p>
      <w:pPr>
        <w:ind w:right="600"/>
      </w:pPr>
      <w:r>
        <w:t xml:space="preserve">Fernand Braudel, </w:t>
      </w:r>
      <w:r>
        <w:rPr>
          <w:i/>
        </w:rPr>
        <w:t>Écrits sur l’histoire</w:t>
      </w:r>
      <w:r>
        <w:t>, Flammarion, Paris, 1969.</w:t>
      </w:r>
    </w:p>
    <w:p>
      <w:pPr>
        <w:ind w:right="600"/>
      </w:pPr>
    </w:p>
    <w:p>
      <w:pPr>
        <w:ind w:right="600"/>
      </w:pPr>
      <w:r>
        <w:t xml:space="preserve">Chartier Roger, </w:t>
      </w:r>
      <w:r>
        <w:rPr>
          <w:i/>
        </w:rPr>
        <w:t>Au bord de la falaise : l’histoire entre certitudes et inquiétude</w:t>
      </w:r>
      <w:r>
        <w:t>, Albin Michel, Paris, 1998.</w:t>
      </w:r>
    </w:p>
    <w:p>
      <w:pPr>
        <w:ind w:right="600"/>
      </w:pPr>
    </w:p>
    <w:p>
      <w:pPr>
        <w:ind w:right="600"/>
      </w:pPr>
      <w:r>
        <w:t xml:space="preserve">Leduc Jean, </w:t>
      </w:r>
      <w:r>
        <w:rPr>
          <w:i/>
        </w:rPr>
        <w:t>Les Historiens et le temps,</w:t>
      </w:r>
      <w:r>
        <w:t xml:space="preserve"> Seuil, Paris, 1999</w:t>
      </w:r>
    </w:p>
    <w:p>
      <w:pPr>
        <w:ind w:right="600"/>
      </w:pPr>
    </w:p>
    <w:p>
      <w:pPr>
        <w:ind w:right="600"/>
      </w:pPr>
      <w:r>
        <w:t xml:space="preserve">Le Goff Jacques, </w:t>
      </w:r>
      <w:r>
        <w:rPr>
          <w:i/>
        </w:rPr>
        <w:t>Histoire et mémoire</w:t>
      </w:r>
      <w:r>
        <w:t xml:space="preserve">, Gallimard, Paris, 1988. </w:t>
      </w:r>
    </w:p>
    <w:p>
      <w:pPr>
        <w:ind w:right="600"/>
      </w:pPr>
    </w:p>
    <w:p>
      <w:pPr>
        <w:ind w:right="600"/>
      </w:pPr>
      <w:r>
        <w:t xml:space="preserve">Marrou Henri-Irénée, </w:t>
      </w:r>
      <w:r>
        <w:rPr>
          <w:i/>
        </w:rPr>
        <w:t>De la connaissance historique</w:t>
      </w:r>
      <w:r>
        <w:t>, Seuil, Paris, 1954.</w:t>
      </w:r>
    </w:p>
    <w:p>
      <w:pPr>
        <w:ind w:right="600"/>
      </w:pPr>
    </w:p>
    <w:p>
      <w:pPr>
        <w:ind w:right="600"/>
      </w:pPr>
      <w:r>
        <w:t>Pomian Krysztof :</w:t>
      </w:r>
    </w:p>
    <w:p>
      <w:pPr>
        <w:ind w:right="600"/>
      </w:pPr>
      <w:r>
        <w:rPr>
          <w:i/>
        </w:rPr>
        <w:t>L’Ordre du temps</w:t>
      </w:r>
      <w:r>
        <w:t xml:space="preserve">, Gallimard, Paris, 1984. </w:t>
      </w:r>
    </w:p>
    <w:p>
      <w:pPr>
        <w:ind w:right="600"/>
      </w:pPr>
      <w:r>
        <w:rPr>
          <w:i/>
        </w:rPr>
        <w:t>Sur l’histoire</w:t>
      </w:r>
      <w:r>
        <w:t>, Gallimard, Paris, 1999.</w:t>
      </w:r>
    </w:p>
    <w:p>
      <w:pPr>
        <w:ind w:right="600"/>
      </w:pPr>
    </w:p>
    <w:p>
      <w:pPr>
        <w:pStyle w:val="2"/>
        <w:spacing w:before="0" w:after="0"/>
        <w:ind w:right="1140"/>
        <w:contextualSpacing/>
        <w:rPr>
          <w:rFonts w:ascii="Times New Roman" w:hAnsi="Times New Roman" w:eastAsia="Times New Roman" w:cs="Times New Roman"/>
          <w:sz w:val="24"/>
          <w:szCs w:val="24"/>
          <w:lang w:val="fr-FR"/>
        </w:rPr>
      </w:pPr>
      <w:bookmarkStart w:id="13" w:name="_k2ftqfu3iu9z" w:colFirst="0" w:colLast="0"/>
      <w:bookmarkEnd w:id="13"/>
      <w:bookmarkStart w:id="14" w:name="_IEP_ou_Licences"/>
      <w:bookmarkEnd w:id="14"/>
      <w:r>
        <w:t>IEP ou Licences de sciences sociales ou de sciences politiques</w:t>
      </w:r>
      <w:r>
        <w:rPr>
          <w:rFonts w:ascii="Times New Roman" w:hAnsi="Times New Roman" w:eastAsia="Times New Roman" w:cs="Times New Roman"/>
          <w:sz w:val="24"/>
          <w:szCs w:val="24"/>
          <w:lang w:val="fr-FR"/>
        </w:rPr>
        <w:t>.</w:t>
      </w:r>
    </w:p>
    <w:p>
      <w:pPr>
        <w:spacing w:after="120" w:line="276" w:lineRule="auto"/>
        <w:jc w:val="both"/>
        <w:rPr>
          <w:color w:val="000000" w:themeColor="text1"/>
          <w:sz w:val="28"/>
          <w:szCs w:val="28"/>
          <w14:textFill>
            <w14:solidFill>
              <w14:schemeClr w14:val="tx1"/>
            </w14:solidFill>
          </w14:textFill>
        </w:rPr>
      </w:pPr>
    </w:p>
    <w:p>
      <w:pPr>
        <w:spacing w:after="120" w:line="276" w:lineRule="auto"/>
        <w:jc w:val="both"/>
        <w:rPr>
          <w:b/>
          <w:i/>
          <w:color w:val="000000" w:themeColor="text1"/>
          <w:sz w:val="28"/>
          <w:szCs w:val="28"/>
          <w14:textFill>
            <w14:solidFill>
              <w14:schemeClr w14:val="tx1"/>
            </w14:solidFill>
          </w14:textFill>
        </w:rPr>
      </w:pPr>
      <w:r>
        <w:rPr>
          <w:b/>
        </w:rPr>
        <w:t>Faire dialoguer la philosophie avec les sciences sociales et politiques</w:t>
      </w:r>
    </w:p>
    <w:p>
      <w:pPr>
        <w:spacing w:after="120" w:line="276" w:lineRule="auto"/>
        <w:jc w:val="both"/>
      </w:pPr>
      <w:r>
        <w:t xml:space="preserve">Les études de philosophie en terminale peuvent servir d’introduction aux sciences sociales et politiques au moins à partir de trois ensembles clairement identifiés dans le programme de terminale : la culture, la morale et la politique. </w:t>
      </w:r>
    </w:p>
    <w:p>
      <w:pPr>
        <w:spacing w:after="120" w:line="276" w:lineRule="auto"/>
        <w:jc w:val="both"/>
      </w:pPr>
      <w:r>
        <w:t xml:space="preserve">Pour préparer les élèves à ce qu’ils vont trouver dans leurs études de sciences sociales et/ou de sciences politiques, on pourra : </w:t>
      </w:r>
    </w:p>
    <w:p>
      <w:pPr>
        <w:pStyle w:val="25"/>
        <w:numPr>
          <w:ilvl w:val="0"/>
          <w:numId w:val="5"/>
        </w:numPr>
        <w:spacing w:after="120" w:line="276" w:lineRule="auto"/>
        <w:jc w:val="both"/>
        <w:rPr>
          <w:rFonts w:ascii="Times New Roman" w:hAnsi="Times New Roman" w:eastAsia="Times New Roman" w:cs="Times New Roman"/>
          <w:lang w:eastAsia="fr-FR"/>
        </w:rPr>
      </w:pPr>
      <w:r>
        <w:rPr>
          <w:rFonts w:ascii="Times New Roman" w:hAnsi="Times New Roman" w:eastAsia="Times New Roman" w:cs="Times New Roman"/>
          <w:lang w:eastAsia="fr-FR"/>
        </w:rPr>
        <w:t xml:space="preserve">Chercher des thématiques contemporaines qui suscitent la curiosité. Ces thématiques pourraient être des questions structurantes de nos sociétés contemporaines, comme celles des fondements de nos démocraties, celles touchant au système mondialisé de l’économie de marché ou encore celles portant sur les particularités de sociétés sécularisées et individualistes (il ne s’agit aucunement d’une typologie exhaustive, mais d’illustrations). Elles pourraient être également des questions plus actuelles qui semblent dessiner des vecteurs importants d’évolution de nos sociétés, comme la question écologique, celle du genre ou encore celle du populisme. </w:t>
      </w:r>
    </w:p>
    <w:p>
      <w:pPr>
        <w:pStyle w:val="25"/>
        <w:spacing w:after="120" w:line="276" w:lineRule="auto"/>
        <w:ind w:left="927"/>
        <w:jc w:val="both"/>
        <w:rPr>
          <w:rFonts w:ascii="Times New Roman" w:hAnsi="Times New Roman" w:eastAsia="Times New Roman" w:cs="Times New Roman"/>
          <w:lang w:eastAsia="fr-FR"/>
        </w:rPr>
      </w:pPr>
    </w:p>
    <w:p>
      <w:pPr>
        <w:pStyle w:val="25"/>
        <w:numPr>
          <w:ilvl w:val="0"/>
          <w:numId w:val="5"/>
        </w:numPr>
        <w:spacing w:after="120" w:line="276" w:lineRule="auto"/>
        <w:jc w:val="both"/>
        <w:rPr>
          <w:rFonts w:ascii="Times New Roman" w:hAnsi="Times New Roman" w:eastAsia="Times New Roman" w:cs="Times New Roman"/>
          <w:lang w:eastAsia="fr-FR"/>
        </w:rPr>
      </w:pPr>
      <w:r>
        <w:rPr>
          <w:rFonts w:ascii="Times New Roman" w:hAnsi="Times New Roman" w:eastAsia="Times New Roman" w:cs="Times New Roman"/>
          <w:lang w:eastAsia="fr-FR"/>
        </w:rPr>
        <w:t xml:space="preserve">Faire découvrir ces thématiques en essayant de concevoir un dialogue entre la philosophie et les disciplines fondamentales des cursus des sciences politiques et sociales, à savoir l’histoire, la sociologie, le droit et l’économie. </w:t>
      </w:r>
    </w:p>
    <w:p>
      <w:pPr>
        <w:spacing w:after="120" w:line="276" w:lineRule="auto"/>
        <w:jc w:val="both"/>
      </w:pPr>
      <w:r>
        <w:rPr>
          <w:b/>
        </w:rPr>
        <w:t>1er axe possible </w:t>
      </w:r>
      <w:r>
        <w:t>: faire travailler à partir des questions posées par le réel et plus précisément à partir de cas tels qu’ils peuvent susciter la réflexion philosophique.</w:t>
      </w:r>
    </w:p>
    <w:p>
      <w:pPr>
        <w:spacing w:after="120" w:line="276" w:lineRule="auto"/>
        <w:jc w:val="both"/>
      </w:pPr>
      <w:r>
        <w:t xml:space="preserve">Sans que cette liste soit exhaustive, on peut penser par exemple à : </w:t>
      </w:r>
    </w:p>
    <w:p>
      <w:pPr>
        <w:pStyle w:val="25"/>
        <w:numPr>
          <w:ilvl w:val="0"/>
          <w:numId w:val="6"/>
        </w:numPr>
        <w:spacing w:after="120" w:line="276" w:lineRule="auto"/>
        <w:jc w:val="both"/>
        <w:rPr>
          <w:rFonts w:ascii="Times New Roman" w:hAnsi="Times New Roman" w:eastAsia="Times New Roman" w:cs="Times New Roman"/>
          <w:lang w:eastAsia="fr-FR"/>
        </w:rPr>
      </w:pPr>
      <w:r>
        <w:rPr>
          <w:rFonts w:ascii="Times New Roman" w:hAnsi="Times New Roman" w:eastAsia="Times New Roman" w:cs="Times New Roman"/>
          <w:lang w:eastAsia="fr-FR"/>
        </w:rPr>
        <w:t>« écologie et changement climatique » ;</w:t>
      </w:r>
    </w:p>
    <w:p>
      <w:pPr>
        <w:pStyle w:val="25"/>
        <w:numPr>
          <w:ilvl w:val="0"/>
          <w:numId w:val="6"/>
        </w:numPr>
        <w:spacing w:after="120" w:line="276" w:lineRule="auto"/>
        <w:jc w:val="both"/>
        <w:rPr>
          <w:rFonts w:ascii="Times New Roman" w:hAnsi="Times New Roman" w:eastAsia="Times New Roman" w:cs="Times New Roman"/>
          <w:lang w:eastAsia="fr-FR"/>
        </w:rPr>
      </w:pPr>
      <w:r>
        <w:rPr>
          <w:rFonts w:ascii="Times New Roman" w:hAnsi="Times New Roman" w:eastAsia="Times New Roman" w:cs="Times New Roman"/>
          <w:lang w:eastAsia="fr-FR"/>
        </w:rPr>
        <w:t>« inégalités et mondialisation » ;</w:t>
      </w:r>
    </w:p>
    <w:p>
      <w:pPr>
        <w:pStyle w:val="25"/>
        <w:numPr>
          <w:ilvl w:val="0"/>
          <w:numId w:val="6"/>
        </w:numPr>
        <w:spacing w:after="120" w:line="276" w:lineRule="auto"/>
        <w:jc w:val="both"/>
        <w:rPr>
          <w:rFonts w:ascii="Times New Roman" w:hAnsi="Times New Roman" w:eastAsia="Times New Roman" w:cs="Times New Roman"/>
          <w:lang w:eastAsia="fr-FR"/>
        </w:rPr>
      </w:pPr>
      <w:r>
        <w:rPr>
          <w:rFonts w:ascii="Times New Roman" w:hAnsi="Times New Roman" w:eastAsia="Times New Roman" w:cs="Times New Roman"/>
          <w:lang w:eastAsia="fr-FR"/>
        </w:rPr>
        <w:t>« religions et radicalités ;</w:t>
      </w:r>
    </w:p>
    <w:p>
      <w:pPr>
        <w:pStyle w:val="25"/>
        <w:numPr>
          <w:ilvl w:val="0"/>
          <w:numId w:val="6"/>
        </w:numPr>
        <w:spacing w:after="120" w:line="276" w:lineRule="auto"/>
        <w:jc w:val="both"/>
        <w:rPr>
          <w:rFonts w:ascii="Times New Roman" w:hAnsi="Times New Roman" w:eastAsia="Times New Roman" w:cs="Times New Roman"/>
          <w:lang w:eastAsia="fr-FR"/>
        </w:rPr>
      </w:pPr>
      <w:r>
        <w:rPr>
          <w:rFonts w:ascii="Times New Roman" w:hAnsi="Times New Roman" w:eastAsia="Times New Roman" w:cs="Times New Roman"/>
          <w:lang w:eastAsia="fr-FR"/>
        </w:rPr>
        <w:t xml:space="preserve">« démocratie et autoritarisme» ;  </w:t>
      </w:r>
    </w:p>
    <w:p>
      <w:pPr>
        <w:spacing w:after="120" w:line="276" w:lineRule="auto"/>
        <w:jc w:val="both"/>
      </w:pPr>
      <w:r>
        <w:t xml:space="preserve">Autant de couple de notions qui sont clairement problématisées par la philosophie et qui peuvent conduire à faire le pont entre une histoire de la philosophie et des textes philosophiques contemporains. Par exemple : </w:t>
      </w:r>
    </w:p>
    <w:p>
      <w:pPr>
        <w:pStyle w:val="25"/>
        <w:numPr>
          <w:ilvl w:val="0"/>
          <w:numId w:val="6"/>
        </w:numPr>
        <w:spacing w:after="120" w:line="276" w:lineRule="auto"/>
        <w:jc w:val="both"/>
        <w:rPr>
          <w:rFonts w:ascii="Times New Roman" w:hAnsi="Times New Roman" w:eastAsia="Times New Roman" w:cs="Times New Roman"/>
          <w:lang w:eastAsia="fr-FR"/>
        </w:rPr>
      </w:pPr>
      <w:r>
        <w:rPr>
          <w:rFonts w:ascii="Times New Roman" w:hAnsi="Times New Roman" w:eastAsia="Times New Roman" w:cs="Times New Roman"/>
          <w:lang w:eastAsia="fr-FR"/>
        </w:rPr>
        <w:t xml:space="preserve">Hans Jonas ou Dominique Bourg, </w:t>
      </w:r>
    </w:p>
    <w:p>
      <w:pPr>
        <w:pStyle w:val="25"/>
        <w:numPr>
          <w:ilvl w:val="0"/>
          <w:numId w:val="6"/>
        </w:numPr>
        <w:spacing w:after="120" w:line="276" w:lineRule="auto"/>
        <w:jc w:val="both"/>
        <w:rPr>
          <w:rFonts w:ascii="Times New Roman" w:hAnsi="Times New Roman" w:eastAsia="Times New Roman" w:cs="Times New Roman"/>
          <w:lang w:val="en-US" w:eastAsia="fr-FR"/>
        </w:rPr>
      </w:pPr>
      <w:r>
        <w:rPr>
          <w:rFonts w:ascii="Times New Roman" w:hAnsi="Times New Roman" w:eastAsia="Times New Roman" w:cs="Times New Roman"/>
          <w:lang w:val="en-US" w:eastAsia="fr-FR"/>
        </w:rPr>
        <w:t xml:space="preserve">John Rawls ou Slavoj Zizek, </w:t>
      </w:r>
    </w:p>
    <w:p>
      <w:pPr>
        <w:pStyle w:val="25"/>
        <w:numPr>
          <w:ilvl w:val="0"/>
          <w:numId w:val="6"/>
        </w:numPr>
        <w:spacing w:after="120" w:line="276" w:lineRule="auto"/>
        <w:jc w:val="both"/>
        <w:rPr>
          <w:rFonts w:ascii="Times New Roman" w:hAnsi="Times New Roman" w:eastAsia="Times New Roman" w:cs="Times New Roman"/>
          <w:lang w:eastAsia="fr-FR"/>
        </w:rPr>
      </w:pPr>
      <w:r>
        <w:rPr>
          <w:rFonts w:ascii="Times New Roman" w:hAnsi="Times New Roman" w:eastAsia="Times New Roman" w:cs="Times New Roman"/>
          <w:lang w:eastAsia="fr-FR"/>
        </w:rPr>
        <w:t>Kant ou Olivier Roy,</w:t>
      </w:r>
    </w:p>
    <w:p>
      <w:pPr>
        <w:pStyle w:val="25"/>
        <w:numPr>
          <w:ilvl w:val="0"/>
          <w:numId w:val="6"/>
        </w:numPr>
        <w:spacing w:after="120" w:line="276" w:lineRule="auto"/>
        <w:jc w:val="both"/>
        <w:rPr>
          <w:rFonts w:ascii="Times New Roman" w:hAnsi="Times New Roman" w:eastAsia="Times New Roman" w:cs="Times New Roman"/>
          <w:lang w:val="en-US" w:eastAsia="fr-FR"/>
        </w:rPr>
      </w:pPr>
      <w:r>
        <w:rPr>
          <w:rFonts w:ascii="Times New Roman" w:hAnsi="Times New Roman" w:eastAsia="Times New Roman" w:cs="Times New Roman"/>
          <w:lang w:val="en-US" w:eastAsia="fr-FR"/>
        </w:rPr>
        <w:t>Hannah Arendt ou Giorgio Agamben.</w:t>
      </w:r>
    </w:p>
    <w:p>
      <w:pPr>
        <w:spacing w:after="120" w:line="276" w:lineRule="auto"/>
        <w:jc w:val="both"/>
      </w:pPr>
      <w:r>
        <w:rPr>
          <w:b/>
        </w:rPr>
        <w:t>2e axe possible</w:t>
      </w:r>
      <w:r>
        <w:t xml:space="preserve"> : faire travailler de façon transdisciplinaire, afin de confronter la manière dont d’autres chercheurs venant d’autres disciplines (sociologues, politistes, historiens ou économistes) posent eux-mêmes des questions et élaborent un travail dans leurs disciplines propres. </w:t>
      </w:r>
    </w:p>
    <w:p>
      <w:pPr>
        <w:spacing w:after="120" w:line="276" w:lineRule="auto"/>
        <w:jc w:val="both"/>
      </w:pPr>
      <w:r>
        <w:t xml:space="preserve">Sur le type de questions identifiées dans le point précédent, il serait utile de mobiliser des textes ou interventions de spécialistes, que ce soit dans des manuels, des dictionnaires ou encore des médias spécialisés. Il est assez aisé de trouver sur </w:t>
      </w:r>
      <w:r>
        <w:rPr>
          <w:i/>
        </w:rPr>
        <w:t>Cairn</w:t>
      </w:r>
      <w:r>
        <w:t xml:space="preserve">, dans les dictionnaires des sciences politiques ou des sciences humaines (par exemple ceux édités par les Puf) ou encore dans des journaux académiques (comme </w:t>
      </w:r>
      <w:r>
        <w:rPr>
          <w:i/>
        </w:rPr>
        <w:t>The conversation</w:t>
      </w:r>
      <w:r>
        <w:t>) des supports abordant les cas de réflexion sous un angle différent et permettant de comparer les méthodes, les questionnements et les résultats de la réflexion.</w:t>
      </w:r>
    </w:p>
    <w:p>
      <w:pPr>
        <w:spacing w:after="120" w:line="276" w:lineRule="auto"/>
        <w:jc w:val="both"/>
      </w:pPr>
      <w:r>
        <w:fldChar w:fldCharType="begin"/>
      </w:r>
      <w:r>
        <w:instrText xml:space="preserve"> HYPERLINK "https://theconversation.com/fr" </w:instrText>
      </w:r>
      <w:r>
        <w:fldChar w:fldCharType="separate"/>
      </w:r>
      <w:r>
        <w:rPr>
          <w:rStyle w:val="16"/>
        </w:rPr>
        <w:t>https://theconversation.com/fr</w:t>
      </w:r>
      <w:r>
        <w:rPr>
          <w:rStyle w:val="16"/>
        </w:rPr>
        <w:fldChar w:fldCharType="end"/>
      </w:r>
    </w:p>
    <w:p>
      <w:pPr>
        <w:spacing w:after="120" w:line="276" w:lineRule="auto"/>
        <w:jc w:val="both"/>
      </w:pPr>
      <w:r>
        <w:rPr>
          <w:b/>
        </w:rPr>
        <w:t>3e axe possible</w:t>
      </w:r>
      <w:r>
        <w:t> : former les élèves à quelques textes fondamentaux qu’ils pourraient (re) lire pour posséder une culture de sciences sociales et politiques.</w:t>
      </w:r>
    </w:p>
    <w:p>
      <w:pPr>
        <w:pStyle w:val="25"/>
        <w:numPr>
          <w:ilvl w:val="0"/>
          <w:numId w:val="6"/>
        </w:numPr>
        <w:spacing w:after="120" w:line="276" w:lineRule="auto"/>
        <w:jc w:val="both"/>
        <w:rPr>
          <w:rFonts w:ascii="Times New Roman" w:hAnsi="Times New Roman" w:eastAsia="Times New Roman" w:cs="Times New Roman"/>
          <w:lang w:eastAsia="fr-FR"/>
        </w:rPr>
      </w:pPr>
      <w:r>
        <w:rPr>
          <w:rFonts w:ascii="Times New Roman" w:hAnsi="Times New Roman" w:eastAsia="Times New Roman" w:cs="Times New Roman"/>
          <w:lang w:eastAsia="fr-FR"/>
        </w:rPr>
        <w:t>Cibler des textes repères qui sont autant d’introduction au droit, à la politique, à la sociologie ou encore à l’économie (Marx, Durkheim, Weber)</w:t>
      </w:r>
    </w:p>
    <w:p>
      <w:pPr>
        <w:pStyle w:val="25"/>
        <w:numPr>
          <w:ilvl w:val="0"/>
          <w:numId w:val="6"/>
        </w:numPr>
        <w:spacing w:after="120" w:line="276" w:lineRule="auto"/>
        <w:jc w:val="both"/>
        <w:rPr>
          <w:rFonts w:ascii="Times New Roman" w:hAnsi="Times New Roman" w:eastAsia="Times New Roman" w:cs="Times New Roman"/>
          <w:lang w:eastAsia="fr-FR"/>
        </w:rPr>
      </w:pPr>
      <w:r>
        <w:rPr>
          <w:rFonts w:ascii="Times New Roman" w:hAnsi="Times New Roman" w:eastAsia="Times New Roman" w:cs="Times New Roman"/>
          <w:lang w:eastAsia="fr-FR"/>
        </w:rPr>
        <w:t>Mettre en perspective les débats sur la souveraineté nationale ou populaire (par exemple chez des auteurs comme Rousseau et Sieyès) avec les connaissances historiques de révolutions de 1789 ou de 1848.</w:t>
      </w:r>
    </w:p>
    <w:p/>
    <w:p>
      <w:pPr>
        <w:pStyle w:val="2"/>
        <w:ind w:right="1140"/>
      </w:pPr>
      <w:r>
        <w:t>BTS</w:t>
      </w:r>
    </w:p>
    <w:p>
      <w:pPr>
        <w:ind w:right="1140"/>
      </w:pPr>
      <w:r>
        <w:t xml:space="preserve">Programme BTS (officiel), notion qui entre pour les deux prochaines années. </w:t>
      </w:r>
    </w:p>
    <w:p>
      <w:pPr>
        <w:spacing w:before="240"/>
        <w:ind w:right="1140"/>
        <w:rPr>
          <w:color w:val="4A86E8"/>
        </w:rPr>
      </w:pPr>
      <w:r>
        <w:rPr>
          <w:color w:val="4A86E8"/>
        </w:rPr>
        <w:t>Thème n°1 – Invitation au voyage</w:t>
      </w:r>
    </w:p>
    <w:p>
      <w:pPr>
        <w:spacing w:before="240"/>
        <w:ind w:right="1140"/>
        <w:rPr>
          <w:color w:val="4A86E8"/>
        </w:rPr>
      </w:pPr>
    </w:p>
    <w:p>
      <w:pPr>
        <w:rPr>
          <w:color w:val="4A86E8"/>
        </w:rPr>
      </w:pPr>
      <w:r>
        <w:rPr>
          <w:color w:val="4A86E8"/>
        </w:rPr>
        <w:t>Thème n° 2 – Paris, ville capitale ?</w:t>
      </w:r>
    </w:p>
    <w:p>
      <w:pPr>
        <w:pStyle w:val="17"/>
      </w:pPr>
      <w:r>
        <w:t>Longtemps apanage d'une élite sociale, le voyage s'est désormais démocratisé. La variété des moyens de transports, la baisse des coûts, la facilité de l'organisation du voyage en ligne, clé en main, donnent au plus grand nombre l'opportunité de se déplacer vers des destinations lointaines. Pourtant, tout le monde ne voyage pas : la peur de l'inconnu, les risques éventuels, l'éloignement de l'environnement familier ou encore les dépenses occasionnées peuvent freiner l'envie de partir.</w:t>
      </w:r>
    </w:p>
    <w:p>
      <w:pPr>
        <w:pStyle w:val="17"/>
      </w:pPr>
      <w:r>
        <w:t>Mais pourquoi voyageons-nous ? Certes, nous sommes parfois contraints de nous déplacer pour des raisons professionnelles ou des motifs familiaux, mais le temps des vacances est une invitation au dépaysement, à l'agrément et à l'exotisme, à la découverte de l'ailleurs. Voyager, c'est alors prendre le large et, quand on part, on ne revient pas toujours le même : le voyage est un rite de passage qui permet de faire l'expérience de soi-même face aux autres, face à l'inconnu. Ainsi, les peintres ont longtemps fait le voyage en Italie, les aristocrates ont eu leur Grand Tour et les étudiants européens peuvent participer au programme Erasmus. Cependant s'agit-il encore de la même conception du voyage ?</w:t>
      </w:r>
    </w:p>
    <w:p>
      <w:pPr>
        <w:rPr>
          <w:b/>
        </w:rPr>
      </w:pPr>
      <w:r>
        <w:rPr>
          <w:b/>
        </w:rPr>
        <w:t>Suite de la présentation des deux thèmes, bibliographie et filmographie, conférences en ligne sur...</w:t>
      </w:r>
    </w:p>
    <w:p>
      <w:pPr>
        <w:ind w:right="1140"/>
      </w:pPr>
      <w:r>
        <w:fldChar w:fldCharType="begin"/>
      </w:r>
      <w:r>
        <w:instrText xml:space="preserve"> HYPERLINK "https://www.enseignementsup-recherche.gouv.fr/fr/bo/23/Hebdo11/ESRS2303798N.htm" </w:instrText>
      </w:r>
      <w:r>
        <w:fldChar w:fldCharType="separate"/>
      </w:r>
      <w:r>
        <w:rPr>
          <w:rStyle w:val="16"/>
        </w:rPr>
        <w:t>https://www.enseignementsup-recherche.gouv.fr/fr/bo/23/Hebdo11/ESRS2303798N.htm</w:t>
      </w:r>
      <w:r>
        <w:rPr>
          <w:rStyle w:val="16"/>
        </w:rPr>
        <w:fldChar w:fldCharType="end"/>
      </w:r>
    </w:p>
    <w:p>
      <w:pPr>
        <w:pStyle w:val="2"/>
        <w:spacing w:before="240"/>
      </w:pPr>
      <w:bookmarkStart w:id="15" w:name="_h55pvfmhb0w8" w:colFirst="0" w:colLast="0"/>
      <w:bookmarkEnd w:id="15"/>
      <w:r>
        <w:t>STAPS</w:t>
      </w:r>
    </w:p>
    <w:p>
      <w:pPr>
        <w:pStyle w:val="4"/>
        <w:spacing w:before="240"/>
        <w:rPr>
          <w:b/>
        </w:rPr>
      </w:pPr>
      <w:r>
        <w:rPr>
          <w:b/>
        </w:rPr>
        <w:t>Histoire</w:t>
      </w:r>
    </w:p>
    <w:p/>
    <w:p>
      <w:r>
        <w:t xml:space="preserve">Patrick Boucheron, </w:t>
      </w:r>
      <w:r>
        <w:rPr>
          <w:i/>
        </w:rPr>
        <w:t>Histoire mondiale de la France</w:t>
      </w:r>
    </w:p>
    <w:p>
      <w:r>
        <w:t>                                  1984 Michel Foucault est mort</w:t>
      </w:r>
    </w:p>
    <w:p>
      <w:r>
        <w:t>                                  1998 La France black, blanc, beur</w:t>
      </w:r>
    </w:p>
    <w:p/>
    <w:p/>
    <w:p>
      <w:r>
        <w:t xml:space="preserve">Jacques Defrance,  </w:t>
      </w:r>
      <w:r>
        <w:rPr>
          <w:i/>
        </w:rPr>
        <w:t xml:space="preserve">Les sports traditionnels après la fin de la tradition sportive. </w:t>
      </w:r>
      <w:r>
        <w:t xml:space="preserve"> Même ouvrage, T.Terret</w:t>
      </w:r>
    </w:p>
    <w:p/>
    <w:p>
      <w:r>
        <w:t xml:space="preserve">Jean Michel Delaplace, </w:t>
      </w:r>
      <w:r>
        <w:rPr>
          <w:i/>
        </w:rPr>
        <w:t xml:space="preserve">Le mammouth et la puce </w:t>
      </w:r>
      <w:r>
        <w:t xml:space="preserve">: </w:t>
      </w:r>
      <w:r>
        <w:rPr>
          <w:i/>
        </w:rPr>
        <w:t>l'EPS face aux institutions de l'éducation nationale et de la jeunesse et des sports</w:t>
      </w:r>
      <w:r>
        <w:t>. (Éducation physique, sports et loisirs 1970 6 2000) . Ouvrage coordonné par T.Terret</w:t>
      </w:r>
    </w:p>
    <w:p/>
    <w:p/>
    <w:p/>
    <w:p>
      <w:pPr>
        <w:pStyle w:val="4"/>
        <w:spacing w:before="240"/>
        <w:rPr>
          <w:b/>
        </w:rPr>
      </w:pPr>
      <w:r>
        <w:rPr>
          <w:b/>
        </w:rPr>
        <w:t>Sociologie et anthropologie</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Pierre Bourdieu et Jean-Claude Passeron, </w:t>
      </w:r>
    </w:p>
    <w:p>
      <w:pPr>
        <w:rPr>
          <w:color w:val="000000" w:themeColor="text1"/>
          <w14:textFill>
            <w14:solidFill>
              <w14:schemeClr w14:val="tx1"/>
            </w14:solidFill>
          </w14:textFill>
        </w:rPr>
      </w:pPr>
      <w:r>
        <w:rPr>
          <w:i/>
          <w:iCs/>
          <w:color w:val="000000" w:themeColor="text1"/>
          <w14:textFill>
            <w14:solidFill>
              <w14:schemeClr w14:val="tx1"/>
            </w14:solidFill>
          </w14:textFill>
        </w:rPr>
        <w:t>La reproduction : Éléments d’une théorie du système d’enseignement</w:t>
      </w:r>
      <w:r>
        <w:rPr>
          <w:color w:val="000000" w:themeColor="text1"/>
          <w14:textFill>
            <w14:solidFill>
              <w14:schemeClr w14:val="tx1"/>
            </w14:solidFill>
          </w14:textFill>
        </w:rPr>
        <w:t xml:space="preserve">, Paris, Les Éditions de Minuit, coll. « Le sens commun », 1970, </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Style w:val="15"/>
          <w:color w:val="000000" w:themeColor="text1"/>
          <w14:textFill>
            <w14:solidFill>
              <w14:schemeClr w14:val="tx1"/>
            </w14:solidFill>
          </w14:textFill>
        </w:rPr>
        <w:t>Les héritiers : les étudiants et la culture</w:t>
      </w:r>
      <w:r>
        <w:rPr>
          <w:rStyle w:val="22"/>
          <w:color w:val="000000" w:themeColor="text1"/>
          <w14:textFill>
            <w14:solidFill>
              <w14:schemeClr w14:val="tx1"/>
            </w14:solidFill>
          </w14:textFill>
        </w:rPr>
        <w:t>, Paris, Les Éditions de Minuit, coll. « Grands documents » (n</w:t>
      </w:r>
      <w:r>
        <w:rPr>
          <w:rStyle w:val="22"/>
          <w:color w:val="000000" w:themeColor="text1"/>
          <w:vertAlign w:val="superscript"/>
          <w14:textFill>
            <w14:solidFill>
              <w14:schemeClr w14:val="tx1"/>
            </w14:solidFill>
          </w14:textFill>
        </w:rPr>
        <w:t>o</w:t>
      </w:r>
      <w:r>
        <w:rPr>
          <w:rStyle w:val="22"/>
          <w:color w:val="000000" w:themeColor="text1"/>
          <w14:textFill>
            <w14:solidFill>
              <w14:schemeClr w14:val="tx1"/>
            </w14:solidFill>
          </w14:textFill>
        </w:rPr>
        <w:t> 18</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Plus largement il est intéressant de faire lire de petits textes sur certains concepts: "l'habitus", le déterminisme et la violence symbolique.</w:t>
      </w:r>
    </w:p>
    <w:p/>
    <w:p/>
    <w:p>
      <w:r>
        <w:t>Erving Goffman,</w:t>
      </w:r>
    </w:p>
    <w:p>
      <w:pPr>
        <w:rPr>
          <w:i/>
        </w:rPr>
      </w:pPr>
      <w:r>
        <w:rPr>
          <w:i/>
        </w:rPr>
        <w:t>Asiles</w:t>
      </w:r>
    </w:p>
    <w:p>
      <w:pPr>
        <w:rPr>
          <w:i/>
        </w:rPr>
      </w:pPr>
      <w:r>
        <w:rPr>
          <w:i/>
        </w:rPr>
        <w:t>Stigmates</w:t>
      </w:r>
    </w:p>
    <w:p>
      <w:pPr>
        <w:rPr>
          <w:i/>
        </w:rPr>
      </w:pPr>
      <w:r>
        <w:rPr>
          <w:i/>
        </w:rPr>
        <w:t>Les rites d'interaction</w:t>
      </w:r>
    </w:p>
    <w:p>
      <w:pPr>
        <w:spacing w:before="240"/>
      </w:pPr>
      <w:r>
        <w:t xml:space="preserve">Mauss, </w:t>
      </w:r>
      <w:r>
        <w:rPr>
          <w:i/>
        </w:rPr>
        <w:t xml:space="preserve">Les Techniques du corps </w:t>
      </w:r>
    </w:p>
    <w:p/>
    <w:p/>
    <w:p>
      <w:r>
        <w:t xml:space="preserve">Charles Suaud, </w:t>
      </w:r>
      <w:r>
        <w:rPr>
          <w:i/>
        </w:rPr>
        <w:t>Espaces des sports, espace social et effets d'âge</w:t>
      </w:r>
      <w:r>
        <w:t xml:space="preserve"> - actes de recherches en sciences sociales - 1989</w:t>
      </w:r>
    </w:p>
    <w:p/>
    <w:p>
      <w:pPr>
        <w:rPr>
          <w:b/>
        </w:rPr>
      </w:pPr>
      <w:r>
        <w:rPr>
          <w:b/>
        </w:rPr>
        <w:t>Pour aller un peu plus loin</w:t>
      </w:r>
    </w:p>
    <w:p/>
    <w:p>
      <w:pPr>
        <w:spacing w:after="240"/>
      </w:pPr>
      <w:r>
        <w:t xml:space="preserve">Jean-Marie Brohm, </w:t>
      </w:r>
      <w:r>
        <w:rPr>
          <w:i/>
          <w:iCs/>
        </w:rPr>
        <w:t>Sociologie critique.</w:t>
      </w:r>
    </w:p>
    <w:p/>
    <w:p>
      <w:r>
        <w:t xml:space="preserve">Michel Foucault, </w:t>
      </w:r>
      <w:r>
        <w:rPr>
          <w:i/>
        </w:rPr>
        <w:t>Surveiller et punir</w:t>
      </w:r>
      <w:r>
        <w:t xml:space="preserve"> (peut être lu avec </w:t>
      </w:r>
      <w:r>
        <w:rPr>
          <w:i/>
        </w:rPr>
        <w:t>Asile</w:t>
      </w:r>
      <w:r>
        <w:t xml:space="preserve"> de Goffman sur les institutions totalitaires)</w:t>
      </w:r>
    </w:p>
    <w:p/>
    <w:p>
      <w:r>
        <w:t xml:space="preserve">Edgar Morin, </w:t>
      </w:r>
      <w:r>
        <w:rPr>
          <w:i/>
        </w:rPr>
        <w:t xml:space="preserve">Introduction à la pensée complexe. </w:t>
      </w:r>
      <w:r>
        <w:t>Point Essais (notamment ce qui confronte pensée complexe et pensée disjonctive)</w:t>
      </w:r>
    </w:p>
    <w:p>
      <w:pPr>
        <w:spacing w:before="240"/>
        <w:rPr>
          <w:lang w:val="fr"/>
        </w:rPr>
      </w:pPr>
      <w:r>
        <w:rPr>
          <w:i/>
          <w:lang w:val="fr"/>
        </w:rPr>
        <w:t>Sociologie politique du sport</w:t>
      </w:r>
      <w:r>
        <w:rPr>
          <w:lang w:val="fr"/>
        </w:rPr>
        <w:t>, 1976, réédition : Nancy, P.U.N., 1992, 398 p. (</w:t>
      </w:r>
      <w:r>
        <w:fldChar w:fldCharType="begin"/>
      </w:r>
      <w:r>
        <w:instrText xml:space="preserve"> HYPERLINK "https://fr.wikipedia.org/wiki/International_Standard_Book_Number" \o "International Standard Book Number" </w:instrText>
      </w:r>
      <w:r>
        <w:fldChar w:fldCharType="separate"/>
      </w:r>
      <w:r>
        <w:rPr>
          <w:lang w:val="fr"/>
        </w:rPr>
        <w:t>ISBN</w:t>
      </w:r>
      <w:r>
        <w:rPr>
          <w:lang w:val="fr"/>
        </w:rPr>
        <w:fldChar w:fldCharType="end"/>
      </w:r>
      <w:r>
        <w:rPr>
          <w:lang w:val="fr"/>
        </w:rPr>
        <w:t> </w:t>
      </w:r>
      <w:r>
        <w:fldChar w:fldCharType="begin"/>
      </w:r>
      <w:r>
        <w:instrText xml:space="preserve"> HYPERLINK "https://fr.wikipedia.org/wiki/Sp%C3%A9cial:Ouvrages_de_r%C3%A9f%C3%A9rence/978-2864805618" \o "Spécial:Ouvrages de référence/978-2864805618" </w:instrText>
      </w:r>
      <w:r>
        <w:fldChar w:fldCharType="separate"/>
      </w:r>
      <w:r>
        <w:rPr>
          <w:lang w:val="fr"/>
        </w:rPr>
        <w:t>978-2864805618</w:t>
      </w:r>
      <w:r>
        <w:rPr>
          <w:lang w:val="fr"/>
        </w:rPr>
        <w:fldChar w:fldCharType="end"/>
      </w:r>
      <w:r>
        <w:rPr>
          <w:lang w:val="fr"/>
        </w:rPr>
        <w:t>)</w:t>
      </w:r>
    </w:p>
    <w:p>
      <w:pPr>
        <w:spacing w:before="240"/>
        <w:rPr>
          <w:lang w:val="fr"/>
        </w:rPr>
      </w:pPr>
      <w:r>
        <w:rPr>
          <w:i/>
          <w:lang w:val="fr"/>
        </w:rPr>
        <w:t>Les dessous de l'olympisme</w:t>
      </w:r>
      <w:r>
        <w:rPr>
          <w:lang w:val="fr"/>
        </w:rPr>
        <w:t>, avec </w:t>
      </w:r>
      <w:r>
        <w:fldChar w:fldCharType="begin"/>
      </w:r>
      <w:r>
        <w:instrText xml:space="preserve"> HYPERLINK "https://fr.wikipedia.org/wiki/Michel_Caillat" \o "Michel Caillat" </w:instrText>
      </w:r>
      <w:r>
        <w:fldChar w:fldCharType="separate"/>
      </w:r>
      <w:r>
        <w:rPr>
          <w:lang w:val="fr"/>
        </w:rPr>
        <w:t>Michel Caillat</w:t>
      </w:r>
      <w:r>
        <w:rPr>
          <w:lang w:val="fr"/>
        </w:rPr>
        <w:fldChar w:fldCharType="end"/>
      </w:r>
      <w:r>
        <w:rPr>
          <w:lang w:val="fr"/>
        </w:rPr>
        <w:t>, Paris, La Découverte, Collection : Cahiers libres, 1984. (</w:t>
      </w:r>
      <w:r>
        <w:fldChar w:fldCharType="begin"/>
      </w:r>
      <w:r>
        <w:instrText xml:space="preserve"> HYPERLINK "https://fr.wikipedia.org/wiki/International_Standard_Book_Number" \o "International Standard Book Number" </w:instrText>
      </w:r>
      <w:r>
        <w:fldChar w:fldCharType="separate"/>
      </w:r>
      <w:r>
        <w:rPr>
          <w:lang w:val="fr"/>
        </w:rPr>
        <w:t>ISBN</w:t>
      </w:r>
      <w:r>
        <w:rPr>
          <w:lang w:val="fr"/>
        </w:rPr>
        <w:fldChar w:fldCharType="end"/>
      </w:r>
      <w:r>
        <w:rPr>
          <w:lang w:val="fr"/>
        </w:rPr>
        <w:t> </w:t>
      </w:r>
      <w:r>
        <w:fldChar w:fldCharType="begin"/>
      </w:r>
      <w:r>
        <w:instrText xml:space="preserve"> HYPERLINK "https://fr.wikipedia.org/wiki/Sp%C3%A9cial:Ouvrages_de_r%C3%A9f%C3%A9rence/2707114642" \o "Spécial:Ouvrages de référence/2707114642" </w:instrText>
      </w:r>
      <w:r>
        <w:fldChar w:fldCharType="separate"/>
      </w:r>
      <w:r>
        <w:rPr>
          <w:lang w:val="fr"/>
        </w:rPr>
        <w:t>2707114642</w:t>
      </w:r>
      <w:r>
        <w:rPr>
          <w:lang w:val="fr"/>
        </w:rPr>
        <w:fldChar w:fldCharType="end"/>
      </w:r>
      <w:r>
        <w:rPr>
          <w:lang w:val="fr"/>
        </w:rPr>
        <w:t>)</w:t>
      </w:r>
    </w:p>
    <w:p>
      <w:pPr>
        <w:spacing w:before="240"/>
        <w:rPr>
          <w:lang w:val="fr"/>
        </w:rPr>
      </w:pPr>
      <w:r>
        <w:rPr>
          <w:i/>
          <w:lang w:val="fr"/>
        </w:rPr>
        <w:t>Le corps analyseur : essai de sociologie critique</w:t>
      </w:r>
      <w:r>
        <w:rPr>
          <w:lang w:val="fr"/>
        </w:rPr>
        <w:t>, Paris, Anthropos, 2001. (</w:t>
      </w:r>
      <w:r>
        <w:fldChar w:fldCharType="begin"/>
      </w:r>
      <w:r>
        <w:instrText xml:space="preserve"> HYPERLINK "https://fr.wikipedia.org/wiki/International_Standard_Book_Number" \o "International Standard Book Number" </w:instrText>
      </w:r>
      <w:r>
        <w:fldChar w:fldCharType="separate"/>
      </w:r>
      <w:r>
        <w:rPr>
          <w:lang w:val="fr"/>
        </w:rPr>
        <w:t>ISBN</w:t>
      </w:r>
      <w:r>
        <w:rPr>
          <w:lang w:val="fr"/>
        </w:rPr>
        <w:fldChar w:fldCharType="end"/>
      </w:r>
      <w:r>
        <w:rPr>
          <w:lang w:val="fr"/>
        </w:rPr>
        <w:t> </w:t>
      </w:r>
      <w:r>
        <w:fldChar w:fldCharType="begin"/>
      </w:r>
      <w:r>
        <w:instrText xml:space="preserve"> HYPERLINK "https://fr.wikipedia.org/wiki/Sp%C3%A9cial:Ouvrages_de_r%C3%A9f%C3%A9rence/2-7178-4224-1" \o "Spécial:Ouvrages de référence/2-7178-4224-1" </w:instrText>
      </w:r>
      <w:r>
        <w:fldChar w:fldCharType="separate"/>
      </w:r>
      <w:r>
        <w:rPr>
          <w:lang w:val="fr"/>
        </w:rPr>
        <w:t>2-7178-4224-1</w:t>
      </w:r>
      <w:r>
        <w:rPr>
          <w:lang w:val="fr"/>
        </w:rPr>
        <w:fldChar w:fldCharType="end"/>
      </w:r>
      <w:r>
        <w:rPr>
          <w:lang w:val="fr"/>
        </w:rPr>
        <w:t>)</w:t>
      </w:r>
    </w:p>
    <w:p>
      <w:pPr>
        <w:spacing w:before="240"/>
        <w:rPr>
          <w:lang w:val="fr"/>
        </w:rPr>
      </w:pPr>
      <w:r>
        <w:rPr>
          <w:i/>
          <w:lang w:val="fr"/>
        </w:rPr>
        <w:t>Le football, une peste émotionnelle : La barbarie des stades</w:t>
      </w:r>
      <w:r>
        <w:rPr>
          <w:lang w:val="fr"/>
        </w:rPr>
        <w:t>, avec </w:t>
      </w:r>
      <w:r>
        <w:fldChar w:fldCharType="begin"/>
      </w:r>
      <w:r>
        <w:instrText xml:space="preserve"> HYPERLINK "https://fr.wikipedia.org/wiki/Marc_Perelman" \o "Marc Perelman" </w:instrText>
      </w:r>
      <w:r>
        <w:fldChar w:fldCharType="separate"/>
      </w:r>
      <w:r>
        <w:rPr>
          <w:lang w:val="fr"/>
        </w:rPr>
        <w:t>Marc Perelman</w:t>
      </w:r>
      <w:r>
        <w:rPr>
          <w:lang w:val="fr"/>
        </w:rPr>
        <w:fldChar w:fldCharType="end"/>
      </w:r>
      <w:r>
        <w:rPr>
          <w:lang w:val="fr"/>
        </w:rPr>
        <w:t>, Paris, Éditions Gallimard, 2006. (</w:t>
      </w:r>
      <w:r>
        <w:fldChar w:fldCharType="begin"/>
      </w:r>
      <w:r>
        <w:instrText xml:space="preserve"> HYPERLINK "https://fr.wikipedia.org/wiki/International_Standard_Book_Number" \o "International Standard Book Number" </w:instrText>
      </w:r>
      <w:r>
        <w:fldChar w:fldCharType="separate"/>
      </w:r>
      <w:r>
        <w:rPr>
          <w:lang w:val="fr"/>
        </w:rPr>
        <w:t>ISBN</w:t>
      </w:r>
      <w:r>
        <w:rPr>
          <w:lang w:val="fr"/>
        </w:rPr>
        <w:fldChar w:fldCharType="end"/>
      </w:r>
      <w:r>
        <w:rPr>
          <w:lang w:val="fr"/>
        </w:rPr>
        <w:t> </w:t>
      </w:r>
      <w:r>
        <w:fldChar w:fldCharType="begin"/>
      </w:r>
      <w:r>
        <w:instrText xml:space="preserve"> HYPERLINK "https://fr.wikipedia.org/wiki/Sp%C3%A9cial:Ouvrages_de_r%C3%A9f%C3%A9rence/2070319512" \o "Spécial:Ouvrages de référence/2070319512" </w:instrText>
      </w:r>
      <w:r>
        <w:fldChar w:fldCharType="separate"/>
      </w:r>
      <w:r>
        <w:rPr>
          <w:lang w:val="fr"/>
        </w:rPr>
        <w:t>2070319512</w:t>
      </w:r>
      <w:r>
        <w:rPr>
          <w:lang w:val="fr"/>
        </w:rPr>
        <w:fldChar w:fldCharType="end"/>
      </w:r>
      <w:r>
        <w:rPr>
          <w:lang w:val="fr"/>
        </w:rPr>
        <w:t>)</w:t>
      </w:r>
    </w:p>
    <w:p>
      <w:pPr>
        <w:spacing w:before="240"/>
        <w:rPr>
          <w:lang w:val="fr"/>
        </w:rPr>
      </w:pPr>
      <w:r>
        <w:rPr>
          <w:i/>
          <w:lang w:val="fr"/>
        </w:rPr>
        <w:t>La tyrannie sportive. Théorie critique d’un opium du peuple</w:t>
      </w:r>
      <w:r>
        <w:rPr>
          <w:lang w:val="fr"/>
        </w:rPr>
        <w:t>, Paris, Beauchesne, 2006. (</w:t>
      </w:r>
      <w:r>
        <w:fldChar w:fldCharType="begin"/>
      </w:r>
      <w:r>
        <w:instrText xml:space="preserve"> HYPERLINK "https://fr.wikipedia.org/wiki/International_Standard_Book_Number" \o "International Standard Book Number" </w:instrText>
      </w:r>
      <w:r>
        <w:fldChar w:fldCharType="separate"/>
      </w:r>
      <w:r>
        <w:rPr>
          <w:lang w:val="fr"/>
        </w:rPr>
        <w:t>ISBN</w:t>
      </w:r>
      <w:r>
        <w:rPr>
          <w:lang w:val="fr"/>
        </w:rPr>
        <w:fldChar w:fldCharType="end"/>
      </w:r>
      <w:r>
        <w:rPr>
          <w:lang w:val="fr"/>
        </w:rPr>
        <w:t> </w:t>
      </w:r>
      <w:r>
        <w:fldChar w:fldCharType="begin"/>
      </w:r>
      <w:r>
        <w:instrText xml:space="preserve"> HYPERLINK "https://fr.wikipedia.org/wiki/Sp%C3%A9cial:Ouvrages_de_r%C3%A9f%C3%A9rence/2701014956" \o "Spécial:Ouvrages de référence/2701014956" </w:instrText>
      </w:r>
      <w:r>
        <w:fldChar w:fldCharType="separate"/>
      </w:r>
      <w:r>
        <w:rPr>
          <w:lang w:val="fr"/>
        </w:rPr>
        <w:t>2701014956</w:t>
      </w:r>
      <w:r>
        <w:rPr>
          <w:lang w:val="fr"/>
        </w:rPr>
        <w:fldChar w:fldCharType="end"/>
      </w:r>
      <w:r>
        <w:rPr>
          <w:lang w:val="fr"/>
        </w:rPr>
        <w:t>)</w:t>
      </w:r>
    </w:p>
    <w:p>
      <w:pPr>
        <w:spacing w:before="240"/>
        <w:rPr>
          <w:lang w:val="fr"/>
        </w:rPr>
      </w:pPr>
      <w:r>
        <w:rPr>
          <w:i/>
          <w:lang w:val="fr"/>
        </w:rPr>
        <w:t>1936, Les Jeux olympiques à Berlin</w:t>
      </w:r>
      <w:r>
        <w:rPr>
          <w:lang w:val="fr"/>
        </w:rPr>
        <w:t>, </w:t>
      </w:r>
      <w:r>
        <w:fldChar w:fldCharType="begin"/>
      </w:r>
      <w:r>
        <w:instrText xml:space="preserve"> HYPERLINK "https://fr.wikipedia.org/w/index.php?title=Andr%C3%A9_Versaille_%C3%A9diteur&amp;action=edit&amp;redlink=1" \o "André Versaille éditeur (page inexistante)" </w:instrText>
      </w:r>
      <w:r>
        <w:fldChar w:fldCharType="separate"/>
      </w:r>
      <w:r>
        <w:rPr>
          <w:lang w:val="fr"/>
        </w:rPr>
        <w:t>André Versaille éditeur</w:t>
      </w:r>
      <w:r>
        <w:rPr>
          <w:lang w:val="fr"/>
        </w:rPr>
        <w:fldChar w:fldCharType="end"/>
      </w:r>
      <w:r>
        <w:rPr>
          <w:lang w:val="fr"/>
        </w:rPr>
        <w:t>, 2008. (</w:t>
      </w:r>
      <w:r>
        <w:fldChar w:fldCharType="begin"/>
      </w:r>
      <w:r>
        <w:instrText xml:space="preserve"> HYPERLINK "https://fr.wikipedia.org/wiki/International_Standard_Book_Number" \o "International Standard Book Number" </w:instrText>
      </w:r>
      <w:r>
        <w:fldChar w:fldCharType="separate"/>
      </w:r>
      <w:r>
        <w:rPr>
          <w:lang w:val="fr"/>
        </w:rPr>
        <w:t>ISBN</w:t>
      </w:r>
      <w:r>
        <w:rPr>
          <w:lang w:val="fr"/>
        </w:rPr>
        <w:fldChar w:fldCharType="end"/>
      </w:r>
      <w:r>
        <w:rPr>
          <w:lang w:val="fr"/>
        </w:rPr>
        <w:t> </w:t>
      </w:r>
      <w:r>
        <w:fldChar w:fldCharType="begin"/>
      </w:r>
      <w:r>
        <w:instrText xml:space="preserve"> HYPERLINK "https://fr.wikipedia.org/wiki/Sp%C3%A9cial:Ouvrages_de_r%C3%A9f%C3%A9rence/9782874950100" \o "Spécial:Ouvrages de référence/9782874950100" </w:instrText>
      </w:r>
      <w:r>
        <w:fldChar w:fldCharType="separate"/>
      </w:r>
      <w:r>
        <w:rPr>
          <w:lang w:val="fr"/>
        </w:rPr>
        <w:t>9782874950100</w:t>
      </w:r>
      <w:r>
        <w:rPr>
          <w:lang w:val="fr"/>
        </w:rPr>
        <w:fldChar w:fldCharType="end"/>
      </w:r>
      <w:r>
        <w:rPr>
          <w:lang w:val="fr"/>
        </w:rPr>
        <w:t>)</w:t>
      </w:r>
    </w:p>
    <w:p>
      <w:pPr>
        <w:spacing w:before="240"/>
      </w:pPr>
    </w:p>
    <w:p/>
    <w:sectPr>
      <w:headerReference r:id="rId5" w:type="default"/>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86"/>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mbria">
    <w:altName w:val="Helvetica Neue"/>
    <w:panose1 w:val="02040503050406030204"/>
    <w:charset w:val="01"/>
    <w:family w:val="roman"/>
    <w:pitch w:val="default"/>
    <w:sig w:usb0="00000000" w:usb1="00000000" w:usb2="00000000" w:usb3="00000000" w:csb0="0000019F" w:csb1="00000000"/>
  </w:font>
  <w:font w:name="Times">
    <w:panose1 w:val="00000500000000020000"/>
    <w:charset w:val="00"/>
    <w:family w:val="auto"/>
    <w:pitch w:val="default"/>
    <w:sig w:usb0="00000000" w:usb1="00000000" w:usb2="00000000" w:usb3="00000000" w:csb0="00000000" w:csb1="00000000"/>
  </w:font>
  <w:font w:name="Wingdings">
    <w:panose1 w:val="05000000000000000000"/>
    <w:charset w:val="02"/>
    <w:family w:val="decorative"/>
    <w:pitch w:val="default"/>
    <w:sig w:usb0="00000000" w:usb1="00000000" w:usb2="00000000" w:usb3="00000000" w:csb0="00000000" w:csb1="00000000"/>
  </w:font>
  <w:font w:name="Symbol">
    <w:altName w:val="Kingsoft Sign"/>
    <w:panose1 w:val="05050102010706020507"/>
    <w:charset w:val="02"/>
    <w:family w:val="decorative"/>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Hiragino Sans GB">
    <w:panose1 w:val="020B03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240" w:lineRule="auto"/>
      <w:contextualSpacing/>
      <w:rPr>
        <w:sz w:val="20"/>
        <w:szCs w:val="20"/>
      </w:rPr>
    </w:pPr>
    <w:r>
      <w:rPr>
        <w:sz w:val="20"/>
        <w:szCs w:val="20"/>
      </w:rPr>
      <w:t xml:space="preserve">Académie de Versailles </w:t>
    </w:r>
    <w:r>
      <w:rPr>
        <w:sz w:val="20"/>
        <w:szCs w:val="20"/>
      </w:rPr>
      <w:tab/>
    </w:r>
  </w:p>
  <w:p>
    <w:pPr>
      <w:rPr>
        <w:lang w:val="fr"/>
      </w:rPr>
    </w:pPr>
    <w:r>
      <w:drawing>
        <wp:inline distT="0" distB="0" distL="0" distR="0">
          <wp:extent cx="976630" cy="245745"/>
          <wp:effectExtent l="0" t="0" r="1270" b="0"/>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stretch>
                    <a:fillRect/>
                  </a:stretch>
                </pic:blipFill>
                <pic:spPr>
                  <a:xfrm>
                    <a:off x="0" y="0"/>
                    <a:ext cx="1070872" cy="2698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FF410D"/>
    <w:multiLevelType w:val="multilevel"/>
    <w:tmpl w:val="08FF410D"/>
    <w:lvl w:ilvl="0" w:tentative="0">
      <w:start w:val="0"/>
      <w:numFmt w:val="bullet"/>
      <w:lvlText w:val="-"/>
      <w:lvlJc w:val="left"/>
      <w:pPr>
        <w:ind w:left="720" w:hanging="360"/>
      </w:pPr>
      <w:rPr>
        <w:rFonts w:hint="default" w:ascii="Arial" w:hAnsi="Arial" w:eastAsia="Times"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FC00CE8"/>
    <w:multiLevelType w:val="multilevel"/>
    <w:tmpl w:val="2FC00CE8"/>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52FE1F8D"/>
    <w:multiLevelType w:val="multilevel"/>
    <w:tmpl w:val="52FE1F8D"/>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6DF47B86"/>
    <w:multiLevelType w:val="multilevel"/>
    <w:tmpl w:val="6DF47B86"/>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74C04730"/>
    <w:multiLevelType w:val="multilevel"/>
    <w:tmpl w:val="74C04730"/>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67C55F6"/>
    <w:multiLevelType w:val="multilevel"/>
    <w:tmpl w:val="767C55F6"/>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17"/>
    <w:rsid w:val="000A1D82"/>
    <w:rsid w:val="00212098"/>
    <w:rsid w:val="002309C8"/>
    <w:rsid w:val="00290948"/>
    <w:rsid w:val="002B28BA"/>
    <w:rsid w:val="002C5DB0"/>
    <w:rsid w:val="00302F7D"/>
    <w:rsid w:val="00335FB7"/>
    <w:rsid w:val="00391508"/>
    <w:rsid w:val="0046316F"/>
    <w:rsid w:val="00541F78"/>
    <w:rsid w:val="005974F4"/>
    <w:rsid w:val="00605375"/>
    <w:rsid w:val="006E21A1"/>
    <w:rsid w:val="006E336D"/>
    <w:rsid w:val="007359D7"/>
    <w:rsid w:val="007E40EE"/>
    <w:rsid w:val="00851F8B"/>
    <w:rsid w:val="0086078E"/>
    <w:rsid w:val="0097672A"/>
    <w:rsid w:val="0098407C"/>
    <w:rsid w:val="00B12297"/>
    <w:rsid w:val="00B5091F"/>
    <w:rsid w:val="00B7718A"/>
    <w:rsid w:val="00B94383"/>
    <w:rsid w:val="00C040F9"/>
    <w:rsid w:val="00D31F1B"/>
    <w:rsid w:val="00E63317"/>
    <w:rsid w:val="00F1069B"/>
    <w:rsid w:val="2ED773D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uto"/>
    </w:pPr>
    <w:rPr>
      <w:rFonts w:ascii="Times New Roman" w:hAnsi="Times New Roman" w:eastAsia="Times New Roman" w:cs="Times New Roman"/>
      <w:sz w:val="24"/>
      <w:szCs w:val="24"/>
      <w:lang w:val="fr-FR" w:eastAsia="fr-FR" w:bidi="ar-SA"/>
    </w:rPr>
  </w:style>
  <w:style w:type="paragraph" w:styleId="2">
    <w:name w:val="heading 1"/>
    <w:basedOn w:val="1"/>
    <w:next w:val="1"/>
    <w:qFormat/>
    <w:uiPriority w:val="9"/>
    <w:pPr>
      <w:keepNext/>
      <w:keepLines/>
      <w:spacing w:before="400" w:after="120" w:line="276" w:lineRule="auto"/>
      <w:outlineLvl w:val="0"/>
    </w:pPr>
    <w:rPr>
      <w:rFonts w:ascii="Arial" w:hAnsi="Arial" w:eastAsia="Arial" w:cs="Arial"/>
      <w:sz w:val="40"/>
      <w:szCs w:val="40"/>
      <w:lang w:val="fr"/>
    </w:rPr>
  </w:style>
  <w:style w:type="paragraph" w:styleId="3">
    <w:name w:val="heading 2"/>
    <w:basedOn w:val="1"/>
    <w:next w:val="1"/>
    <w:unhideWhenUsed/>
    <w:qFormat/>
    <w:uiPriority w:val="9"/>
    <w:pPr>
      <w:keepNext/>
      <w:keepLines/>
      <w:spacing w:before="360" w:after="120" w:line="276" w:lineRule="auto"/>
      <w:outlineLvl w:val="1"/>
    </w:pPr>
    <w:rPr>
      <w:rFonts w:ascii="Arial" w:hAnsi="Arial" w:eastAsia="Arial" w:cs="Arial"/>
      <w:sz w:val="32"/>
      <w:szCs w:val="32"/>
      <w:lang w:val="fr"/>
    </w:rPr>
  </w:style>
  <w:style w:type="paragraph" w:styleId="4">
    <w:name w:val="heading 3"/>
    <w:basedOn w:val="1"/>
    <w:next w:val="1"/>
    <w:unhideWhenUsed/>
    <w:qFormat/>
    <w:uiPriority w:val="9"/>
    <w:pPr>
      <w:keepNext/>
      <w:keepLines/>
      <w:spacing w:before="320" w:after="80" w:line="276" w:lineRule="auto"/>
      <w:outlineLvl w:val="2"/>
    </w:pPr>
    <w:rPr>
      <w:rFonts w:ascii="Arial" w:hAnsi="Arial" w:eastAsia="Arial" w:cs="Arial"/>
      <w:color w:val="434343"/>
      <w:sz w:val="28"/>
      <w:szCs w:val="28"/>
      <w:lang w:val="fr"/>
    </w:rPr>
  </w:style>
  <w:style w:type="paragraph" w:styleId="5">
    <w:name w:val="heading 4"/>
    <w:basedOn w:val="1"/>
    <w:next w:val="1"/>
    <w:semiHidden/>
    <w:unhideWhenUsed/>
    <w:qFormat/>
    <w:uiPriority w:val="9"/>
    <w:pPr>
      <w:keepNext/>
      <w:keepLines/>
      <w:spacing w:before="280" w:after="80" w:line="276" w:lineRule="auto"/>
      <w:outlineLvl w:val="3"/>
    </w:pPr>
    <w:rPr>
      <w:rFonts w:ascii="Arial" w:hAnsi="Arial" w:eastAsia="Arial" w:cs="Arial"/>
      <w:color w:val="666666"/>
      <w:lang w:val="fr"/>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annotation text"/>
    <w:basedOn w:val="1"/>
    <w:link w:val="26"/>
    <w:semiHidden/>
    <w:unhideWhenUsed/>
    <w:uiPriority w:val="99"/>
    <w:rPr>
      <w:rFonts w:asciiTheme="minorHAnsi" w:hAnsiTheme="minorHAnsi" w:eastAsiaTheme="minorHAnsi" w:cstheme="minorBidi"/>
      <w:sz w:val="20"/>
      <w:szCs w:val="20"/>
      <w:lang w:eastAsia="en-US"/>
    </w:rPr>
  </w:style>
  <w:style w:type="character" w:styleId="11">
    <w:name w:val="Emphasis"/>
    <w:basedOn w:val="8"/>
    <w:qFormat/>
    <w:uiPriority w:val="20"/>
    <w:rPr>
      <w:i/>
      <w:iCs/>
    </w:rPr>
  </w:style>
  <w:style w:type="character" w:styleId="12">
    <w:name w:val="FollowedHyperlink"/>
    <w:basedOn w:val="8"/>
    <w:semiHidden/>
    <w:unhideWhenUsed/>
    <w:uiPriority w:val="99"/>
    <w:rPr>
      <w:color w:val="800080" w:themeColor="followedHyperlink"/>
      <w:u w:val="single"/>
      <w14:textFill>
        <w14:solidFill>
          <w14:schemeClr w14:val="folHlink"/>
        </w14:solidFill>
      </w14:textFill>
    </w:rPr>
  </w:style>
  <w:style w:type="paragraph" w:styleId="13">
    <w:name w:val="footer"/>
    <w:basedOn w:val="1"/>
    <w:link w:val="28"/>
    <w:unhideWhenUsed/>
    <w:uiPriority w:val="99"/>
    <w:pPr>
      <w:tabs>
        <w:tab w:val="center" w:pos="4536"/>
        <w:tab w:val="right" w:pos="9072"/>
      </w:tabs>
    </w:pPr>
  </w:style>
  <w:style w:type="paragraph" w:styleId="14">
    <w:name w:val="header"/>
    <w:basedOn w:val="1"/>
    <w:link w:val="27"/>
    <w:unhideWhenUsed/>
    <w:uiPriority w:val="99"/>
    <w:pPr>
      <w:tabs>
        <w:tab w:val="center" w:pos="4536"/>
        <w:tab w:val="right" w:pos="9072"/>
      </w:tabs>
    </w:pPr>
  </w:style>
  <w:style w:type="character" w:styleId="15">
    <w:name w:val="HTML Cite"/>
    <w:basedOn w:val="8"/>
    <w:semiHidden/>
    <w:unhideWhenUsed/>
    <w:uiPriority w:val="99"/>
    <w:rPr>
      <w:i/>
      <w:iCs/>
    </w:rPr>
  </w:style>
  <w:style w:type="character" w:styleId="16">
    <w:name w:val="Hyperlink"/>
    <w:basedOn w:val="8"/>
    <w:unhideWhenUsed/>
    <w:qFormat/>
    <w:uiPriority w:val="99"/>
    <w:rPr>
      <w:color w:val="0000FF" w:themeColor="hyperlink"/>
      <w:u w:val="single"/>
      <w14:textFill>
        <w14:solidFill>
          <w14:schemeClr w14:val="hlink"/>
        </w14:solidFill>
      </w14:textFill>
    </w:rPr>
  </w:style>
  <w:style w:type="paragraph" w:styleId="17">
    <w:name w:val="Normal (Web)"/>
    <w:basedOn w:val="1"/>
    <w:semiHidden/>
    <w:unhideWhenUsed/>
    <w:uiPriority w:val="99"/>
    <w:pPr>
      <w:spacing w:before="100" w:beforeAutospacing="1" w:after="100" w:afterAutospacing="1"/>
    </w:pPr>
  </w:style>
  <w:style w:type="paragraph" w:styleId="18">
    <w:name w:val="Subtitle"/>
    <w:basedOn w:val="1"/>
    <w:next w:val="1"/>
    <w:qFormat/>
    <w:uiPriority w:val="11"/>
    <w:pPr>
      <w:keepNext/>
      <w:keepLines/>
      <w:spacing w:after="320" w:line="276" w:lineRule="auto"/>
    </w:pPr>
    <w:rPr>
      <w:rFonts w:ascii="Arial" w:hAnsi="Arial" w:eastAsia="Arial" w:cs="Arial"/>
      <w:color w:val="666666"/>
      <w:sz w:val="30"/>
      <w:szCs w:val="30"/>
      <w:lang w:val="fr"/>
    </w:rPr>
  </w:style>
  <w:style w:type="paragraph" w:styleId="19">
    <w:name w:val="Title"/>
    <w:basedOn w:val="1"/>
    <w:next w:val="1"/>
    <w:qFormat/>
    <w:uiPriority w:val="10"/>
    <w:pPr>
      <w:keepNext/>
      <w:keepLines/>
      <w:spacing w:after="60" w:line="276" w:lineRule="auto"/>
    </w:pPr>
    <w:rPr>
      <w:rFonts w:ascii="Arial" w:hAnsi="Arial" w:eastAsia="Arial" w:cs="Arial"/>
      <w:sz w:val="52"/>
      <w:szCs w:val="52"/>
      <w:lang w:val="fr"/>
    </w:rPr>
  </w:style>
  <w:style w:type="table" w:customStyle="1" w:styleId="20">
    <w:name w:val="Table Normal1"/>
    <w:uiPriority w:val="0"/>
    <w:tblPr>
      <w:tblCellMar>
        <w:top w:w="0" w:type="dxa"/>
        <w:left w:w="0" w:type="dxa"/>
        <w:bottom w:w="0" w:type="dxa"/>
        <w:right w:w="0" w:type="dxa"/>
      </w:tblCellMar>
    </w:tblPr>
  </w:style>
  <w:style w:type="character" w:customStyle="1" w:styleId="21">
    <w:name w:val="Unresolved Mention"/>
    <w:basedOn w:val="8"/>
    <w:semiHidden/>
    <w:unhideWhenUsed/>
    <w:uiPriority w:val="99"/>
    <w:rPr>
      <w:color w:val="605E5C"/>
      <w:shd w:val="clear" w:color="auto" w:fill="E1DFDD"/>
    </w:rPr>
  </w:style>
  <w:style w:type="character" w:customStyle="1" w:styleId="22">
    <w:name w:val="ouvrage"/>
    <w:basedOn w:val="8"/>
    <w:uiPriority w:val="0"/>
  </w:style>
  <w:style w:type="character" w:customStyle="1" w:styleId="23">
    <w:name w:val="nom_auteur"/>
    <w:basedOn w:val="8"/>
    <w:uiPriority w:val="0"/>
  </w:style>
  <w:style w:type="character" w:customStyle="1" w:styleId="24">
    <w:name w:val="nowrap"/>
    <w:basedOn w:val="8"/>
    <w:uiPriority w:val="0"/>
  </w:style>
  <w:style w:type="paragraph" w:styleId="25">
    <w:name w:val="List Paragraph"/>
    <w:basedOn w:val="1"/>
    <w:qFormat/>
    <w:uiPriority w:val="34"/>
    <w:pPr>
      <w:ind w:left="720"/>
      <w:contextualSpacing/>
    </w:pPr>
    <w:rPr>
      <w:rFonts w:asciiTheme="minorHAnsi" w:hAnsiTheme="minorHAnsi" w:eastAsiaTheme="minorHAnsi" w:cstheme="minorBidi"/>
      <w:lang w:eastAsia="en-US"/>
    </w:rPr>
  </w:style>
  <w:style w:type="character" w:customStyle="1" w:styleId="26">
    <w:name w:val="Commentaire Car"/>
    <w:basedOn w:val="8"/>
    <w:link w:val="10"/>
    <w:semiHidden/>
    <w:uiPriority w:val="99"/>
    <w:rPr>
      <w:rFonts w:asciiTheme="minorHAnsi" w:hAnsiTheme="minorHAnsi" w:eastAsiaTheme="minorHAnsi" w:cstheme="minorBidi"/>
      <w:sz w:val="20"/>
      <w:szCs w:val="20"/>
      <w:lang w:val="fr-FR" w:eastAsia="en-US"/>
    </w:rPr>
  </w:style>
  <w:style w:type="character" w:customStyle="1" w:styleId="27">
    <w:name w:val="En-tête Car"/>
    <w:basedOn w:val="8"/>
    <w:link w:val="14"/>
    <w:uiPriority w:val="99"/>
    <w:rPr>
      <w:rFonts w:ascii="Times New Roman" w:hAnsi="Times New Roman" w:eastAsia="Times New Roman" w:cs="Times New Roman"/>
      <w:sz w:val="24"/>
      <w:szCs w:val="24"/>
      <w:lang w:val="fr-FR"/>
    </w:rPr>
  </w:style>
  <w:style w:type="character" w:customStyle="1" w:styleId="28">
    <w:name w:val="Pied de page Car"/>
    <w:basedOn w:val="8"/>
    <w:link w:val="13"/>
    <w:uiPriority w:val="99"/>
    <w:rPr>
      <w:rFonts w:ascii="Times New Roman" w:hAnsi="Times New Roman" w:eastAsia="Times New Roman" w:cs="Times New Roman"/>
      <w:sz w:val="24"/>
      <w:szCs w:val="24"/>
      <w:lang w:val="fr-F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creativecommons.org/licenses/by-nc-sa/3.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10</Pages>
  <Words>3294</Words>
  <Characters>18121</Characters>
  <Lines>151</Lines>
  <Paragraphs>42</Paragraphs>
  <TotalTime>13</TotalTime>
  <ScaleCrop>false</ScaleCrop>
  <LinksUpToDate>false</LinksUpToDate>
  <CharactersWithSpaces>21373</CharactersWithSpaces>
  <Application>WPS Office_5.1.0.7912_F1E327BC-269C-435d-A152-05C5408002CA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2023-05-11T18:38:00Z</dcterms:created>
  <dc:creator>Data</dc:creator>
  <cp:lastModifiedBy>WPS_1682767187</cp:lastModifiedBy>
  <dcterms:modified xsi:type="dcterms:W3CDTF">2023-05-12T12:04:09Z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1033-5.1.0.7912</vt:lpwstr>
  </property>
</Properties>
</file>